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1CC" w:rsidRDefault="009C31CC">
      <w:pPr>
        <w:keepNext/>
        <w:pBdr>
          <w:top w:val="nil"/>
          <w:left w:val="nil"/>
          <w:bottom w:val="nil"/>
          <w:right w:val="nil"/>
          <w:between w:val="nil"/>
        </w:pBdr>
        <w:spacing w:after="240" w:line="240" w:lineRule="auto"/>
        <w:rPr>
          <w:rFonts w:ascii="Arial" w:eastAsia="Arial" w:hAnsi="Arial" w:cs="Arial"/>
          <w:b/>
          <w:sz w:val="36"/>
          <w:szCs w:val="36"/>
        </w:rPr>
      </w:pPr>
      <w:bookmarkStart w:id="0" w:name="_heading=h.xar8wviaof1" w:colFirst="0" w:colLast="0"/>
      <w:bookmarkEnd w:id="0"/>
    </w:p>
    <w:p w:rsidR="009C31CC" w:rsidRDefault="009C31CC">
      <w:pPr>
        <w:keepNext/>
        <w:pBdr>
          <w:top w:val="nil"/>
          <w:left w:val="nil"/>
          <w:bottom w:val="nil"/>
          <w:right w:val="nil"/>
          <w:between w:val="nil"/>
        </w:pBdr>
        <w:spacing w:after="240" w:line="240" w:lineRule="auto"/>
        <w:rPr>
          <w:rFonts w:ascii="Arial" w:eastAsia="Arial" w:hAnsi="Arial" w:cs="Arial"/>
          <w:b/>
          <w:sz w:val="36"/>
          <w:szCs w:val="36"/>
        </w:rPr>
      </w:pPr>
      <w:bookmarkStart w:id="1" w:name="_heading=h.1fob9te" w:colFirst="0" w:colLast="0"/>
      <w:bookmarkEnd w:id="1"/>
    </w:p>
    <w:p w:rsidR="009C31CC" w:rsidRDefault="00E97488">
      <w:pPr>
        <w:keepNext/>
        <w:pBdr>
          <w:top w:val="nil"/>
          <w:left w:val="nil"/>
          <w:bottom w:val="nil"/>
          <w:right w:val="nil"/>
          <w:between w:val="nil"/>
        </w:pBdr>
        <w:spacing w:after="240" w:line="240" w:lineRule="auto"/>
        <w:ind w:left="-1417"/>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9C31CC" w:rsidRDefault="00E97488">
      <w:pPr>
        <w:numPr>
          <w:ilvl w:val="0"/>
          <w:numId w:val="3"/>
        </w:numPr>
        <w:pBdr>
          <w:top w:val="nil"/>
          <w:left w:val="nil"/>
          <w:bottom w:val="nil"/>
          <w:right w:val="nil"/>
          <w:between w:val="nil"/>
        </w:pBdr>
        <w:tabs>
          <w:tab w:val="left" w:pos="142"/>
        </w:tabs>
        <w:spacing w:before="240" w:after="120" w:line="240" w:lineRule="auto"/>
        <w:ind w:left="-708" w:hanging="708"/>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9C31CC" w:rsidRDefault="00E97488">
      <w:pPr>
        <w:numPr>
          <w:ilvl w:val="1"/>
          <w:numId w:val="3"/>
        </w:numPr>
        <w:pBdr>
          <w:top w:val="nil"/>
          <w:left w:val="nil"/>
          <w:bottom w:val="nil"/>
          <w:right w:val="nil"/>
          <w:between w:val="nil"/>
        </w:pBdr>
        <w:spacing w:before="120" w:after="120" w:line="240" w:lineRule="auto"/>
        <w:ind w:left="-141" w:hanging="566"/>
        <w:rPr>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622" w:type="dxa"/>
        <w:tblInd w:w="-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11"/>
        <w:gridCol w:w="3811"/>
      </w:tblGrid>
      <w:tr w:rsidR="009C31CC">
        <w:tc>
          <w:tcPr>
            <w:tcW w:w="3811" w:type="dxa"/>
          </w:tcPr>
          <w:p w:rsidR="009C31CC" w:rsidRDefault="00E97488">
            <w:pPr>
              <w:tabs>
                <w:tab w:val="left" w:pos="142"/>
              </w:tabs>
              <w:spacing w:before="240" w:after="120"/>
              <w:rPr>
                <w:rFonts w:ascii="Arial" w:eastAsia="Arial" w:hAnsi="Arial" w:cs="Arial"/>
                <w:b/>
                <w:smallCaps/>
                <w:color w:val="000000"/>
                <w:sz w:val="24"/>
                <w:szCs w:val="24"/>
              </w:rPr>
            </w:pPr>
            <w:r>
              <w:rPr>
                <w:rFonts w:ascii="Arial" w:eastAsia="Arial" w:hAnsi="Arial" w:cs="Arial"/>
                <w:b/>
                <w:sz w:val="24"/>
                <w:szCs w:val="24"/>
              </w:rPr>
              <w:t>“Critical Service Level Failure”</w:t>
            </w:r>
          </w:p>
        </w:tc>
        <w:tc>
          <w:tcPr>
            <w:tcW w:w="3811" w:type="dxa"/>
          </w:tcPr>
          <w:p w:rsidR="009C31CC" w:rsidRDefault="00E97488">
            <w:pPr>
              <w:rPr>
                <w:rFonts w:ascii="Arial" w:eastAsia="Arial" w:hAnsi="Arial" w:cs="Arial"/>
                <w:color w:val="000000"/>
              </w:rPr>
            </w:pPr>
            <w:r>
              <w:rPr>
                <w:rFonts w:ascii="Arial" w:eastAsia="Arial" w:hAnsi="Arial" w:cs="Arial"/>
                <w:color w:val="000000"/>
              </w:rPr>
              <w:t>has the meaning given to it in the Order Form;</w:t>
            </w:r>
          </w:p>
        </w:tc>
      </w:tr>
      <w:tr w:rsidR="009C31CC">
        <w:tc>
          <w:tcPr>
            <w:tcW w:w="3811" w:type="dxa"/>
          </w:tcPr>
          <w:p w:rsidR="009C31CC" w:rsidRDefault="00E97488">
            <w:pPr>
              <w:tabs>
                <w:tab w:val="left" w:pos="142"/>
              </w:tabs>
              <w:spacing w:before="240" w:after="120"/>
              <w:rPr>
                <w:rFonts w:ascii="Arial" w:eastAsia="Arial" w:hAnsi="Arial" w:cs="Arial"/>
                <w:b/>
                <w:smallCaps/>
                <w:color w:val="000000"/>
                <w:sz w:val="24"/>
                <w:szCs w:val="24"/>
              </w:rPr>
            </w:pPr>
            <w:r>
              <w:rPr>
                <w:rFonts w:ascii="Arial" w:eastAsia="Arial" w:hAnsi="Arial" w:cs="Arial"/>
                <w:b/>
                <w:sz w:val="24"/>
                <w:szCs w:val="24"/>
              </w:rPr>
              <w:t>"Service Credits"</w:t>
            </w:r>
          </w:p>
        </w:tc>
        <w:tc>
          <w:tcPr>
            <w:tcW w:w="3811" w:type="dxa"/>
          </w:tcPr>
          <w:p w:rsidR="009C31CC" w:rsidRDefault="00E97488">
            <w:pPr>
              <w:rPr>
                <w:rFonts w:ascii="Arial" w:eastAsia="Arial" w:hAnsi="Arial" w:cs="Arial"/>
                <w:smallCaps/>
                <w:color w:val="000000"/>
                <w:sz w:val="24"/>
                <w:szCs w:val="24"/>
              </w:rPr>
            </w:pPr>
            <w:r>
              <w:rPr>
                <w:rFonts w:ascii="Arial" w:eastAsia="Arial" w:hAnsi="Arial" w:cs="Arial"/>
                <w:color w:val="000000"/>
              </w:rPr>
              <w:t>any service credits specified in the Annex to Part A of this Schedule being payable by the Supplier to the Buyer in respect of any failure by the Supplier to meet one or more Service Levels;</w:t>
            </w:r>
          </w:p>
        </w:tc>
      </w:tr>
      <w:tr w:rsidR="009C31CC">
        <w:tc>
          <w:tcPr>
            <w:tcW w:w="3811" w:type="dxa"/>
          </w:tcPr>
          <w:p w:rsidR="009C31CC" w:rsidRDefault="00E97488">
            <w:pPr>
              <w:tabs>
                <w:tab w:val="left" w:pos="142"/>
              </w:tabs>
              <w:spacing w:before="240" w:after="120"/>
              <w:rPr>
                <w:rFonts w:ascii="Arial" w:eastAsia="Arial" w:hAnsi="Arial" w:cs="Arial"/>
                <w:b/>
                <w:smallCaps/>
                <w:color w:val="000000"/>
                <w:sz w:val="24"/>
                <w:szCs w:val="24"/>
              </w:rPr>
            </w:pPr>
            <w:r>
              <w:rPr>
                <w:rFonts w:ascii="Arial" w:eastAsia="Arial" w:hAnsi="Arial" w:cs="Arial"/>
                <w:b/>
                <w:sz w:val="24"/>
                <w:szCs w:val="24"/>
              </w:rPr>
              <w:t>"Service Credit Cap"</w:t>
            </w:r>
          </w:p>
        </w:tc>
        <w:tc>
          <w:tcPr>
            <w:tcW w:w="3811" w:type="dxa"/>
          </w:tcPr>
          <w:p w:rsidR="009C31CC" w:rsidRDefault="00E97488">
            <w:pPr>
              <w:tabs>
                <w:tab w:val="left" w:pos="142"/>
              </w:tabs>
              <w:spacing w:before="240" w:after="120"/>
              <w:rPr>
                <w:rFonts w:ascii="Arial" w:eastAsia="Arial" w:hAnsi="Arial" w:cs="Arial"/>
                <w:b/>
                <w:smallCaps/>
                <w:color w:val="000000"/>
                <w:sz w:val="24"/>
                <w:szCs w:val="24"/>
              </w:rPr>
            </w:pPr>
            <w:r>
              <w:rPr>
                <w:rFonts w:ascii="Arial" w:eastAsia="Arial" w:hAnsi="Arial" w:cs="Arial"/>
                <w:color w:val="000000"/>
              </w:rPr>
              <w:t>has the meaning given to it in the Order Form;</w:t>
            </w:r>
          </w:p>
        </w:tc>
      </w:tr>
      <w:tr w:rsidR="009C31CC">
        <w:tc>
          <w:tcPr>
            <w:tcW w:w="3811" w:type="dxa"/>
          </w:tcPr>
          <w:p w:rsidR="009C31CC" w:rsidRDefault="00E97488">
            <w:pPr>
              <w:tabs>
                <w:tab w:val="left" w:pos="142"/>
              </w:tabs>
              <w:spacing w:before="240" w:after="120"/>
              <w:rPr>
                <w:rFonts w:ascii="Arial" w:eastAsia="Arial" w:hAnsi="Arial" w:cs="Arial"/>
                <w:b/>
                <w:smallCaps/>
                <w:color w:val="000000"/>
                <w:sz w:val="24"/>
                <w:szCs w:val="24"/>
              </w:rPr>
            </w:pPr>
            <w:r>
              <w:rPr>
                <w:rFonts w:ascii="Arial" w:eastAsia="Arial" w:hAnsi="Arial" w:cs="Arial"/>
                <w:b/>
                <w:sz w:val="24"/>
                <w:szCs w:val="24"/>
              </w:rPr>
              <w:t>"Service Level Failure"</w:t>
            </w:r>
          </w:p>
        </w:tc>
        <w:tc>
          <w:tcPr>
            <w:tcW w:w="3811" w:type="dxa"/>
          </w:tcPr>
          <w:p w:rsidR="009C31CC" w:rsidRDefault="00E97488">
            <w:pPr>
              <w:tabs>
                <w:tab w:val="left" w:pos="142"/>
              </w:tabs>
              <w:spacing w:before="240" w:after="120"/>
              <w:rPr>
                <w:rFonts w:ascii="Arial" w:eastAsia="Arial" w:hAnsi="Arial" w:cs="Arial"/>
                <w:b/>
                <w:smallCaps/>
                <w:color w:val="000000"/>
                <w:sz w:val="24"/>
                <w:szCs w:val="24"/>
              </w:rPr>
            </w:pPr>
            <w:r>
              <w:rPr>
                <w:rFonts w:ascii="Arial" w:eastAsia="Arial" w:hAnsi="Arial" w:cs="Arial"/>
                <w:color w:val="000000"/>
              </w:rPr>
              <w:t>means a failure to meet the Service Level Performance Measure in respect of a Service Level;</w:t>
            </w:r>
          </w:p>
        </w:tc>
      </w:tr>
      <w:tr w:rsidR="009C31CC">
        <w:tc>
          <w:tcPr>
            <w:tcW w:w="3811" w:type="dxa"/>
          </w:tcPr>
          <w:p w:rsidR="009C31CC" w:rsidRDefault="00E97488">
            <w:pPr>
              <w:ind w:left="141" w:right="49"/>
              <w:rPr>
                <w:rFonts w:ascii="Arial" w:eastAsia="Arial" w:hAnsi="Arial" w:cs="Arial"/>
                <w:b/>
                <w:sz w:val="24"/>
                <w:szCs w:val="24"/>
              </w:rPr>
            </w:pPr>
            <w:r>
              <w:rPr>
                <w:rFonts w:ascii="Arial" w:eastAsia="Arial" w:hAnsi="Arial" w:cs="Arial"/>
                <w:b/>
                <w:sz w:val="24"/>
                <w:szCs w:val="24"/>
              </w:rPr>
              <w:t>"Service Level Performance Measure"</w:t>
            </w:r>
          </w:p>
          <w:p w:rsidR="009C31CC" w:rsidRDefault="009C31CC">
            <w:pPr>
              <w:tabs>
                <w:tab w:val="left" w:pos="142"/>
              </w:tabs>
              <w:spacing w:before="240" w:after="120"/>
              <w:rPr>
                <w:rFonts w:ascii="Arial" w:eastAsia="Arial" w:hAnsi="Arial" w:cs="Arial"/>
                <w:b/>
                <w:smallCaps/>
                <w:color w:val="000000"/>
                <w:sz w:val="24"/>
                <w:szCs w:val="24"/>
              </w:rPr>
            </w:pPr>
          </w:p>
        </w:tc>
        <w:tc>
          <w:tcPr>
            <w:tcW w:w="3811" w:type="dxa"/>
          </w:tcPr>
          <w:p w:rsidR="009C31CC" w:rsidRDefault="00E97488">
            <w:pPr>
              <w:tabs>
                <w:tab w:val="left" w:pos="142"/>
              </w:tabs>
              <w:spacing w:before="240" w:after="120"/>
              <w:rPr>
                <w:rFonts w:ascii="Arial" w:eastAsia="Arial" w:hAnsi="Arial" w:cs="Arial"/>
                <w:b/>
                <w:smallCaps/>
                <w:color w:val="000000"/>
                <w:sz w:val="24"/>
                <w:szCs w:val="24"/>
              </w:rPr>
            </w:pPr>
            <w:r>
              <w:rPr>
                <w:rFonts w:ascii="Arial" w:eastAsia="Arial" w:hAnsi="Arial" w:cs="Arial"/>
                <w:color w:val="000000"/>
              </w:rPr>
              <w:t>shall be as set out against the relevant Service Level in the Annex to Part A of this Schedule; and</w:t>
            </w:r>
          </w:p>
        </w:tc>
      </w:tr>
      <w:tr w:rsidR="009C31CC">
        <w:tc>
          <w:tcPr>
            <w:tcW w:w="3811" w:type="dxa"/>
          </w:tcPr>
          <w:p w:rsidR="009C31CC" w:rsidRDefault="00E97488">
            <w:pPr>
              <w:tabs>
                <w:tab w:val="left" w:pos="142"/>
              </w:tabs>
              <w:spacing w:before="240" w:after="120"/>
              <w:rPr>
                <w:rFonts w:ascii="Arial" w:eastAsia="Arial" w:hAnsi="Arial" w:cs="Arial"/>
                <w:b/>
                <w:smallCaps/>
                <w:color w:val="000000"/>
                <w:sz w:val="24"/>
                <w:szCs w:val="24"/>
              </w:rPr>
            </w:pPr>
            <w:r>
              <w:rPr>
                <w:rFonts w:ascii="Arial" w:eastAsia="Arial" w:hAnsi="Arial" w:cs="Arial"/>
                <w:b/>
                <w:sz w:val="24"/>
                <w:szCs w:val="24"/>
              </w:rPr>
              <w:t>"Service Level Threshold"</w:t>
            </w:r>
          </w:p>
        </w:tc>
        <w:tc>
          <w:tcPr>
            <w:tcW w:w="3811" w:type="dxa"/>
          </w:tcPr>
          <w:p w:rsidR="009C31CC" w:rsidRDefault="00E97488">
            <w:pPr>
              <w:tabs>
                <w:tab w:val="left" w:pos="142"/>
              </w:tabs>
              <w:spacing w:before="240" w:after="120"/>
              <w:rPr>
                <w:rFonts w:ascii="Arial" w:eastAsia="Arial" w:hAnsi="Arial" w:cs="Arial"/>
                <w:b/>
                <w:smallCaps/>
                <w:color w:val="000000"/>
                <w:sz w:val="24"/>
                <w:szCs w:val="24"/>
              </w:rPr>
            </w:pPr>
            <w:r>
              <w:rPr>
                <w:rFonts w:ascii="Arial" w:eastAsia="Arial" w:hAnsi="Arial" w:cs="Arial"/>
                <w:color w:val="000000"/>
              </w:rPr>
              <w:t>shall be as set out against the relevant Service Level in the Annex to Part A of this Schedule.</w:t>
            </w:r>
          </w:p>
        </w:tc>
      </w:tr>
      <w:tr w:rsidR="009C31CC">
        <w:tc>
          <w:tcPr>
            <w:tcW w:w="3811" w:type="dxa"/>
          </w:tcPr>
          <w:p w:rsidR="009C31CC" w:rsidRDefault="00E97488">
            <w:pPr>
              <w:tabs>
                <w:tab w:val="left" w:pos="142"/>
              </w:tabs>
              <w:spacing w:before="240" w:after="120"/>
              <w:rPr>
                <w:rFonts w:ascii="Arial" w:eastAsia="Arial" w:hAnsi="Arial" w:cs="Arial"/>
                <w:b/>
                <w:sz w:val="24"/>
                <w:szCs w:val="24"/>
              </w:rPr>
            </w:pPr>
            <w:r>
              <w:rPr>
                <w:rFonts w:ascii="Arial" w:eastAsia="Arial" w:hAnsi="Arial" w:cs="Arial"/>
                <w:b/>
                <w:sz w:val="24"/>
                <w:szCs w:val="24"/>
              </w:rPr>
              <w:t>"Performance Monitoring Reports"</w:t>
            </w:r>
          </w:p>
        </w:tc>
        <w:tc>
          <w:tcPr>
            <w:tcW w:w="3811" w:type="dxa"/>
          </w:tcPr>
          <w:p w:rsidR="009C31CC" w:rsidRDefault="00E97488">
            <w:pPr>
              <w:tabs>
                <w:tab w:val="left" w:pos="142"/>
              </w:tabs>
              <w:spacing w:before="240" w:after="120"/>
              <w:rPr>
                <w:rFonts w:ascii="Arial" w:eastAsia="Arial" w:hAnsi="Arial" w:cs="Arial"/>
                <w:b/>
                <w:smallCaps/>
                <w:color w:val="000000"/>
                <w:sz w:val="24"/>
                <w:szCs w:val="24"/>
              </w:rPr>
            </w:pPr>
            <w:r>
              <w:rPr>
                <w:rFonts w:ascii="Arial" w:eastAsia="Arial" w:hAnsi="Arial" w:cs="Arial"/>
                <w:color w:val="000000"/>
              </w:rPr>
              <w:t>has the meaning given to it in Paragraph ‎1.2 of Part B of this Schedule</w:t>
            </w:r>
          </w:p>
        </w:tc>
      </w:tr>
    </w:tbl>
    <w:p w:rsidR="009C31CC" w:rsidRDefault="009C31CC">
      <w:pPr>
        <w:pBdr>
          <w:top w:val="nil"/>
          <w:left w:val="nil"/>
          <w:bottom w:val="nil"/>
          <w:right w:val="nil"/>
          <w:between w:val="nil"/>
        </w:pBdr>
        <w:tabs>
          <w:tab w:val="left" w:pos="142"/>
        </w:tabs>
        <w:spacing w:before="240" w:after="120" w:line="240" w:lineRule="auto"/>
        <w:ind w:left="-708"/>
        <w:rPr>
          <w:rFonts w:ascii="Arial" w:eastAsia="Arial" w:hAnsi="Arial" w:cs="Arial"/>
          <w:b/>
          <w:smallCaps/>
          <w:color w:val="000000"/>
          <w:sz w:val="24"/>
          <w:szCs w:val="24"/>
        </w:rPr>
      </w:pPr>
    </w:p>
    <w:p w:rsidR="009C31CC" w:rsidRDefault="00E97488">
      <w:pPr>
        <w:numPr>
          <w:ilvl w:val="0"/>
          <w:numId w:val="3"/>
        </w:numPr>
        <w:pBdr>
          <w:top w:val="nil"/>
          <w:left w:val="nil"/>
          <w:bottom w:val="nil"/>
          <w:right w:val="nil"/>
          <w:between w:val="nil"/>
        </w:pBdr>
        <w:tabs>
          <w:tab w:val="left" w:pos="142"/>
        </w:tabs>
        <w:spacing w:before="240" w:after="120" w:line="240" w:lineRule="auto"/>
        <w:ind w:left="-708" w:hanging="708"/>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rsidR="009C31CC" w:rsidRDefault="00E97488">
      <w:pPr>
        <w:numPr>
          <w:ilvl w:val="1"/>
          <w:numId w:val="3"/>
        </w:numPr>
        <w:pBdr>
          <w:top w:val="nil"/>
          <w:left w:val="nil"/>
          <w:bottom w:val="nil"/>
          <w:right w:val="nil"/>
          <w:between w:val="nil"/>
        </w:pBdr>
        <w:spacing w:before="120" w:after="120" w:line="240" w:lineRule="auto"/>
        <w:ind w:left="283" w:hanging="850"/>
        <w:rPr>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9C31CC" w:rsidRDefault="00E97488">
      <w:pPr>
        <w:numPr>
          <w:ilvl w:val="1"/>
          <w:numId w:val="3"/>
        </w:numPr>
        <w:pBdr>
          <w:top w:val="nil"/>
          <w:left w:val="nil"/>
          <w:bottom w:val="nil"/>
          <w:right w:val="nil"/>
          <w:between w:val="nil"/>
        </w:pBdr>
        <w:spacing w:before="120" w:after="120" w:line="240" w:lineRule="auto"/>
        <w:ind w:left="283" w:hanging="850"/>
        <w:rPr>
          <w:color w:val="000000"/>
          <w:sz w:val="24"/>
          <w:szCs w:val="24"/>
        </w:rPr>
      </w:pPr>
      <w:r>
        <w:rPr>
          <w:rFonts w:ascii="Arial" w:eastAsia="Arial" w:hAnsi="Arial" w:cs="Arial"/>
          <w:color w:val="000000"/>
          <w:sz w:val="24"/>
          <w:szCs w:val="24"/>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w:t>
      </w:r>
      <w:r>
        <w:rPr>
          <w:rFonts w:ascii="Arial" w:eastAsia="Arial" w:hAnsi="Arial" w:cs="Arial"/>
          <w:color w:val="000000"/>
          <w:sz w:val="24"/>
          <w:szCs w:val="24"/>
        </w:rPr>
        <w:lastRenderedPageBreak/>
        <w:t>suffered by the Buyer as a result of the Supplier’s failure to meet any Service Level Performance Measure.</w:t>
      </w:r>
    </w:p>
    <w:p w:rsidR="009C31CC" w:rsidRDefault="009C31CC">
      <w:pPr>
        <w:pBdr>
          <w:top w:val="nil"/>
          <w:left w:val="nil"/>
          <w:bottom w:val="nil"/>
          <w:right w:val="nil"/>
          <w:between w:val="nil"/>
        </w:pBdr>
        <w:spacing w:before="120" w:after="120" w:line="240" w:lineRule="auto"/>
        <w:ind w:left="1440"/>
        <w:rPr>
          <w:rFonts w:ascii="Arial" w:eastAsia="Arial" w:hAnsi="Arial" w:cs="Arial"/>
          <w:sz w:val="24"/>
          <w:szCs w:val="24"/>
        </w:rPr>
      </w:pPr>
    </w:p>
    <w:p w:rsidR="009C31CC" w:rsidRDefault="00E97488">
      <w:pPr>
        <w:numPr>
          <w:ilvl w:val="1"/>
          <w:numId w:val="3"/>
        </w:numPr>
        <w:pBdr>
          <w:top w:val="nil"/>
          <w:left w:val="nil"/>
          <w:bottom w:val="nil"/>
          <w:right w:val="nil"/>
          <w:between w:val="nil"/>
        </w:pBdr>
        <w:spacing w:before="120" w:after="120" w:line="240" w:lineRule="auto"/>
        <w:ind w:left="283" w:hanging="850"/>
        <w:rPr>
          <w:color w:val="000000"/>
          <w:sz w:val="24"/>
          <w:szCs w:val="24"/>
        </w:rPr>
      </w:pPr>
      <w:r>
        <w:rPr>
          <w:rFonts w:ascii="Arial" w:eastAsia="Arial" w:hAnsi="Arial" w:cs="Arial"/>
          <w:color w:val="000000"/>
          <w:sz w:val="24"/>
          <w:szCs w:val="24"/>
        </w:rPr>
        <w:t xml:space="preserve">The Supplier shall be allowed a one-month grace period at the start of each </w:t>
      </w:r>
      <w:r>
        <w:rPr>
          <w:rFonts w:ascii="Arial" w:eastAsia="Arial" w:hAnsi="Arial" w:cs="Arial"/>
          <w:sz w:val="24"/>
          <w:szCs w:val="24"/>
        </w:rPr>
        <w:t>Call Off Contract</w:t>
      </w:r>
      <w:r>
        <w:rPr>
          <w:rFonts w:ascii="Arial" w:eastAsia="Arial" w:hAnsi="Arial" w:cs="Arial"/>
          <w:color w:val="000000"/>
          <w:sz w:val="24"/>
          <w:szCs w:val="24"/>
        </w:rPr>
        <w:t xml:space="preserve"> in respect of any Service Level Failure, during which period Service Credits shall not be applicable. Following the one-month grace period in each Contract Year, the Buyer shall be entitled to Service Credits in accordance with this Schedule. </w:t>
      </w:r>
    </w:p>
    <w:p w:rsidR="009C31CC" w:rsidRDefault="009C31CC">
      <w:pPr>
        <w:pBdr>
          <w:top w:val="nil"/>
          <w:left w:val="nil"/>
          <w:bottom w:val="nil"/>
          <w:right w:val="nil"/>
          <w:between w:val="nil"/>
        </w:pBdr>
        <w:spacing w:before="120" w:after="120" w:line="240" w:lineRule="auto"/>
        <w:ind w:left="283" w:hanging="850"/>
        <w:rPr>
          <w:rFonts w:ascii="Arial" w:eastAsia="Arial" w:hAnsi="Arial" w:cs="Arial"/>
          <w:b/>
          <w:color w:val="000000"/>
          <w:sz w:val="24"/>
          <w:szCs w:val="24"/>
        </w:rPr>
      </w:pPr>
    </w:p>
    <w:p w:rsidR="009C31CC" w:rsidRDefault="00E97488">
      <w:pPr>
        <w:numPr>
          <w:ilvl w:val="1"/>
          <w:numId w:val="3"/>
        </w:numPr>
        <w:pBdr>
          <w:top w:val="nil"/>
          <w:left w:val="nil"/>
          <w:bottom w:val="nil"/>
          <w:right w:val="nil"/>
          <w:between w:val="nil"/>
        </w:pBdr>
        <w:spacing w:before="120" w:after="120" w:line="240" w:lineRule="auto"/>
        <w:ind w:left="283" w:hanging="850"/>
        <w:rPr>
          <w:color w:val="000000"/>
          <w:sz w:val="24"/>
          <w:szCs w:val="24"/>
        </w:rPr>
      </w:pPr>
      <w:r>
        <w:rPr>
          <w:rFonts w:ascii="Arial" w:eastAsia="Arial" w:hAnsi="Arial" w:cs="Arial"/>
          <w:b/>
          <w:color w:val="000000"/>
          <w:sz w:val="24"/>
          <w:szCs w:val="24"/>
        </w:rPr>
        <w:t xml:space="preserve">The Supplier shall monitor its performance against the Service Levels in the Annex to Part A of this Schedule. </w:t>
      </w: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rsidR="009C31CC" w:rsidRDefault="00E97488">
      <w:pPr>
        <w:numPr>
          <w:ilvl w:val="1"/>
          <w:numId w:val="3"/>
        </w:numPr>
        <w:pBdr>
          <w:top w:val="nil"/>
          <w:left w:val="nil"/>
          <w:bottom w:val="nil"/>
          <w:right w:val="nil"/>
          <w:between w:val="nil"/>
        </w:pBdr>
        <w:spacing w:before="120" w:after="120" w:line="240" w:lineRule="auto"/>
        <w:ind w:left="283" w:hanging="850"/>
        <w:rPr>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9C31CC" w:rsidRDefault="00E97488">
      <w:pPr>
        <w:numPr>
          <w:ilvl w:val="2"/>
          <w:numId w:val="3"/>
        </w:numPr>
        <w:pBdr>
          <w:top w:val="nil"/>
          <w:left w:val="nil"/>
          <w:bottom w:val="nil"/>
          <w:right w:val="nil"/>
          <w:between w:val="nil"/>
        </w:pBdr>
        <w:spacing w:before="120" w:after="120" w:line="240" w:lineRule="auto"/>
        <w:ind w:left="1417" w:hanging="1133"/>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rsidR="009C31CC" w:rsidRDefault="00E97488">
      <w:pPr>
        <w:numPr>
          <w:ilvl w:val="2"/>
          <w:numId w:val="3"/>
        </w:numPr>
        <w:pBdr>
          <w:top w:val="nil"/>
          <w:left w:val="nil"/>
          <w:bottom w:val="nil"/>
          <w:right w:val="nil"/>
          <w:between w:val="nil"/>
        </w:pBdr>
        <w:spacing w:before="120" w:after="120" w:line="240" w:lineRule="auto"/>
        <w:ind w:left="1417" w:hanging="1133"/>
        <w:rPr>
          <w:rFonts w:ascii="Arial" w:eastAsia="Arial" w:hAnsi="Arial" w:cs="Arial"/>
          <w:color w:val="000000"/>
          <w:sz w:val="24"/>
          <w:szCs w:val="24"/>
        </w:rPr>
      </w:pPr>
      <w:r>
        <w:rPr>
          <w:rFonts w:ascii="Arial" w:eastAsia="Arial" w:hAnsi="Arial" w:cs="Arial"/>
          <w:color w:val="000000"/>
          <w:sz w:val="24"/>
          <w:szCs w:val="24"/>
        </w:rPr>
        <w:t>the Service Level Failure:</w:t>
      </w:r>
    </w:p>
    <w:p w:rsidR="009C31CC" w:rsidRDefault="00E97488">
      <w:pPr>
        <w:numPr>
          <w:ilvl w:val="3"/>
          <w:numId w:val="3"/>
        </w:numPr>
        <w:pBdr>
          <w:top w:val="nil"/>
          <w:left w:val="nil"/>
          <w:bottom w:val="nil"/>
          <w:right w:val="nil"/>
          <w:between w:val="nil"/>
        </w:pBdr>
        <w:spacing w:before="120" w:after="120" w:line="240" w:lineRule="auto"/>
        <w:ind w:left="2125" w:hanging="708"/>
        <w:rPr>
          <w:rFonts w:ascii="Arial" w:eastAsia="Arial" w:hAnsi="Arial" w:cs="Arial"/>
          <w:color w:val="000000"/>
          <w:sz w:val="24"/>
          <w:szCs w:val="24"/>
          <w:highlight w:val="white"/>
        </w:rPr>
      </w:pPr>
      <w:r>
        <w:rPr>
          <w:rFonts w:ascii="Arial" w:eastAsia="Arial" w:hAnsi="Arial" w:cs="Arial"/>
          <w:color w:val="000000"/>
          <w:sz w:val="24"/>
          <w:szCs w:val="24"/>
          <w:highlight w:val="white"/>
        </w:rPr>
        <w:t>exceeds the relevant Service Level Threshold;</w:t>
      </w:r>
    </w:p>
    <w:p w:rsidR="009C31CC" w:rsidRDefault="00E97488">
      <w:pPr>
        <w:numPr>
          <w:ilvl w:val="3"/>
          <w:numId w:val="3"/>
        </w:numPr>
        <w:pBdr>
          <w:top w:val="nil"/>
          <w:left w:val="nil"/>
          <w:bottom w:val="nil"/>
          <w:right w:val="nil"/>
          <w:between w:val="nil"/>
        </w:pBdr>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9C31CC" w:rsidRDefault="00E97488">
      <w:pPr>
        <w:numPr>
          <w:ilvl w:val="3"/>
          <w:numId w:val="3"/>
        </w:numPr>
        <w:pBdr>
          <w:top w:val="nil"/>
          <w:left w:val="nil"/>
          <w:bottom w:val="nil"/>
          <w:right w:val="nil"/>
          <w:between w:val="nil"/>
        </w:pBdr>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9C31CC" w:rsidRDefault="00E97488">
      <w:pPr>
        <w:numPr>
          <w:ilvl w:val="3"/>
          <w:numId w:val="3"/>
        </w:numPr>
        <w:pBdr>
          <w:top w:val="nil"/>
          <w:left w:val="nil"/>
          <w:bottom w:val="nil"/>
          <w:right w:val="nil"/>
          <w:between w:val="nil"/>
        </w:pBdr>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rsidR="009C31CC" w:rsidRDefault="00E97488">
      <w:pPr>
        <w:numPr>
          <w:ilvl w:val="2"/>
          <w:numId w:val="3"/>
        </w:numPr>
        <w:pBdr>
          <w:top w:val="nil"/>
          <w:left w:val="nil"/>
          <w:bottom w:val="nil"/>
          <w:right w:val="nil"/>
          <w:between w:val="nil"/>
        </w:pBdr>
        <w:spacing w:before="120" w:after="120" w:line="240" w:lineRule="auto"/>
        <w:ind w:left="1417" w:hanging="1133"/>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Core Terms Clause 10.4 (</w:t>
      </w:r>
      <w:r>
        <w:rPr>
          <w:rFonts w:ascii="Arial" w:eastAsia="Arial" w:hAnsi="Arial" w:cs="Arial"/>
          <w:sz w:val="24"/>
          <w:szCs w:val="24"/>
        </w:rPr>
        <w:t>When CCS or the buyer can end a contract</w:t>
      </w:r>
      <w:r>
        <w:rPr>
          <w:rFonts w:ascii="Arial" w:eastAsia="Arial" w:hAnsi="Arial" w:cs="Arial"/>
          <w:color w:val="000000"/>
          <w:sz w:val="24"/>
          <w:szCs w:val="24"/>
        </w:rPr>
        <w:t>).</w:t>
      </w:r>
    </w:p>
    <w:p w:rsidR="009C31CC" w:rsidRDefault="00E97488">
      <w:pPr>
        <w:numPr>
          <w:ilvl w:val="1"/>
          <w:numId w:val="3"/>
        </w:numPr>
        <w:pBdr>
          <w:top w:val="nil"/>
          <w:left w:val="nil"/>
          <w:bottom w:val="nil"/>
          <w:right w:val="nil"/>
          <w:between w:val="nil"/>
        </w:pBdr>
        <w:spacing w:before="120" w:after="120" w:line="240" w:lineRule="auto"/>
        <w:ind w:left="283" w:hanging="850"/>
        <w:rPr>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a Service Level Performance Measure in respect of one or more Service Levels and the Supplier shall not be entitled to object to, or increase the Charges as a result of such changes, provided that:</w:t>
      </w:r>
    </w:p>
    <w:p w:rsidR="009C31CC" w:rsidRDefault="00E97488">
      <w:pPr>
        <w:numPr>
          <w:ilvl w:val="2"/>
          <w:numId w:val="3"/>
        </w:numPr>
        <w:pBdr>
          <w:top w:val="nil"/>
          <w:left w:val="nil"/>
          <w:bottom w:val="nil"/>
          <w:right w:val="nil"/>
          <w:between w:val="nil"/>
        </w:pBdr>
        <w:spacing w:before="120" w:after="120" w:line="240" w:lineRule="auto"/>
        <w:ind w:left="1417" w:hanging="1133"/>
        <w:rPr>
          <w:rFonts w:ascii="Arial" w:eastAsia="Arial" w:hAnsi="Arial" w:cs="Arial"/>
          <w:color w:val="000000"/>
          <w:sz w:val="24"/>
          <w:szCs w:val="24"/>
        </w:rPr>
      </w:pPr>
      <w:r>
        <w:rPr>
          <w:rFonts w:ascii="Arial" w:eastAsia="Arial" w:hAnsi="Arial" w:cs="Arial"/>
          <w:color w:val="000000"/>
          <w:sz w:val="24"/>
          <w:szCs w:val="24"/>
        </w:rPr>
        <w:t>the total number of Service Levels for which the weighting is to be ch</w:t>
      </w:r>
      <w:r>
        <w:rPr>
          <w:rFonts w:ascii="Arial" w:eastAsia="Arial" w:hAnsi="Arial" w:cs="Arial"/>
          <w:color w:val="000000"/>
          <w:sz w:val="24"/>
          <w:szCs w:val="24"/>
          <w:highlight w:val="white"/>
        </w:rPr>
        <w:t xml:space="preserve">anged does not exceed the number applicable as at the Start Date; </w:t>
      </w:r>
    </w:p>
    <w:p w:rsidR="009C31CC" w:rsidRDefault="00E97488">
      <w:pPr>
        <w:numPr>
          <w:ilvl w:val="2"/>
          <w:numId w:val="3"/>
        </w:numPr>
        <w:pBdr>
          <w:top w:val="nil"/>
          <w:left w:val="nil"/>
          <w:bottom w:val="nil"/>
          <w:right w:val="nil"/>
          <w:between w:val="nil"/>
        </w:pBdr>
        <w:spacing w:before="120" w:after="120" w:line="240" w:lineRule="auto"/>
        <w:ind w:left="1417" w:hanging="1133"/>
        <w:rPr>
          <w:rFonts w:ascii="Arial" w:eastAsia="Arial" w:hAnsi="Arial" w:cs="Arial"/>
          <w:color w:val="000000"/>
          <w:sz w:val="24"/>
          <w:szCs w:val="24"/>
        </w:rPr>
      </w:pPr>
      <w:r>
        <w:rPr>
          <w:rFonts w:ascii="Arial" w:eastAsia="Arial" w:hAnsi="Arial" w:cs="Arial"/>
          <w:color w:val="000000"/>
          <w:sz w:val="24"/>
          <w:szCs w:val="24"/>
        </w:rPr>
        <w:lastRenderedPageBreak/>
        <w:t>the principal purpose of the change is to reflect changes in the Buyer's business requirements and/or priorities or to reflect changing industry standards; and</w:t>
      </w:r>
    </w:p>
    <w:p w:rsidR="009C31CC" w:rsidRDefault="00E97488">
      <w:pPr>
        <w:numPr>
          <w:ilvl w:val="2"/>
          <w:numId w:val="3"/>
        </w:numPr>
        <w:pBdr>
          <w:top w:val="nil"/>
          <w:left w:val="nil"/>
          <w:bottom w:val="nil"/>
          <w:right w:val="nil"/>
          <w:between w:val="nil"/>
        </w:pBdr>
        <w:spacing w:before="120" w:after="120" w:line="240" w:lineRule="auto"/>
        <w:ind w:left="1417" w:hanging="1133"/>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9C31CC" w:rsidRDefault="009C31CC">
      <w:pPr>
        <w:pBdr>
          <w:top w:val="nil"/>
          <w:left w:val="nil"/>
          <w:bottom w:val="nil"/>
          <w:right w:val="nil"/>
          <w:between w:val="nil"/>
        </w:pBdr>
        <w:spacing w:before="120" w:after="120" w:line="240" w:lineRule="auto"/>
        <w:ind w:left="2160"/>
        <w:rPr>
          <w:rFonts w:ascii="Arial" w:eastAsia="Arial" w:hAnsi="Arial" w:cs="Arial"/>
          <w:sz w:val="24"/>
          <w:szCs w:val="24"/>
        </w:rPr>
      </w:pPr>
    </w:p>
    <w:p w:rsidR="009C31CC" w:rsidRDefault="00E97488">
      <w:pPr>
        <w:numPr>
          <w:ilvl w:val="0"/>
          <w:numId w:val="3"/>
        </w:numPr>
        <w:pBdr>
          <w:top w:val="nil"/>
          <w:left w:val="nil"/>
          <w:bottom w:val="nil"/>
          <w:right w:val="nil"/>
          <w:between w:val="nil"/>
        </w:pBdr>
        <w:tabs>
          <w:tab w:val="left" w:pos="142"/>
        </w:tabs>
        <w:spacing w:before="240" w:after="120" w:line="240" w:lineRule="auto"/>
        <w:ind w:left="-708" w:hanging="708"/>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rsidR="009C31CC" w:rsidRDefault="00E97488">
      <w:pPr>
        <w:pBdr>
          <w:top w:val="nil"/>
          <w:left w:val="nil"/>
          <w:bottom w:val="nil"/>
          <w:right w:val="nil"/>
          <w:between w:val="nil"/>
        </w:pBdr>
        <w:spacing w:before="120" w:after="120" w:line="240" w:lineRule="auto"/>
        <w:ind w:left="283" w:hanging="992"/>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9C31CC" w:rsidRDefault="00E97488">
      <w:pPr>
        <w:numPr>
          <w:ilvl w:val="1"/>
          <w:numId w:val="3"/>
        </w:numPr>
        <w:pBdr>
          <w:top w:val="nil"/>
          <w:left w:val="nil"/>
          <w:bottom w:val="nil"/>
          <w:right w:val="nil"/>
          <w:between w:val="nil"/>
        </w:pBdr>
        <w:spacing w:before="120" w:after="120" w:line="240" w:lineRule="auto"/>
        <w:ind w:left="283" w:hanging="850"/>
        <w:rPr>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9C31CC" w:rsidRDefault="00E97488">
      <w:pPr>
        <w:numPr>
          <w:ilvl w:val="1"/>
          <w:numId w:val="3"/>
        </w:numPr>
        <w:pBdr>
          <w:top w:val="nil"/>
          <w:left w:val="nil"/>
          <w:bottom w:val="nil"/>
          <w:right w:val="nil"/>
          <w:between w:val="nil"/>
        </w:pBdr>
        <w:tabs>
          <w:tab w:val="left" w:pos="3402"/>
        </w:tabs>
        <w:spacing w:before="120" w:after="120" w:line="240" w:lineRule="auto"/>
        <w:ind w:left="283" w:hanging="850"/>
        <w:rPr>
          <w:color w:val="000000"/>
          <w:sz w:val="24"/>
          <w:szCs w:val="24"/>
        </w:rPr>
      </w:pPr>
      <w:r>
        <w:rPr>
          <w:rFonts w:ascii="Times New Roman" w:eastAsia="Times New Roman" w:hAnsi="Times New Roman"/>
          <w:sz w:val="14"/>
          <w:szCs w:val="14"/>
        </w:rPr>
        <w:t xml:space="preserve">  </w:t>
      </w:r>
      <w:r>
        <w:rPr>
          <w:rFonts w:ascii="Arial" w:eastAsia="Arial" w:hAnsi="Arial" w:cs="Arial"/>
          <w:sz w:val="24"/>
          <w:szCs w:val="24"/>
        </w:rPr>
        <w:t>the Buyer shall (subject to the Service Credit Cap) be entitled to</w:t>
      </w:r>
      <w:r>
        <w:rPr>
          <w:rFonts w:ascii="Times New Roman" w:eastAsia="Times New Roman" w:hAnsi="Times New Roman"/>
          <w:sz w:val="14"/>
          <w:szCs w:val="14"/>
        </w:rPr>
        <w:t xml:space="preserve">       </w:t>
      </w:r>
      <w:r>
        <w:rPr>
          <w:rFonts w:ascii="Arial" w:eastAsia="Arial" w:hAnsi="Arial" w:cs="Arial"/>
          <w:sz w:val="24"/>
          <w:szCs w:val="24"/>
        </w:rPr>
        <w:t>withhold and retain as compensation a sum equal to any Charges which would otherwise have been due to the Supplier in respect of that Service Period (</w:t>
      </w:r>
      <w:r>
        <w:rPr>
          <w:rFonts w:ascii="Arial" w:eastAsia="Arial" w:hAnsi="Arial" w:cs="Arial"/>
          <w:b/>
          <w:sz w:val="24"/>
          <w:szCs w:val="24"/>
        </w:rPr>
        <w:t>"Compensation for Critical Service Level Failure"</w:t>
      </w:r>
      <w:r>
        <w:rPr>
          <w:rFonts w:ascii="Arial" w:eastAsia="Arial" w:hAnsi="Arial" w:cs="Arial"/>
          <w:sz w:val="24"/>
          <w:szCs w:val="24"/>
        </w:rPr>
        <w:t>), Provided that the operation of this paragraph 3 shall be without prejudice to the right of the Buyer to terminate this Contract and/or to claim damages from the Supplier for material Default.</w:t>
      </w:r>
    </w:p>
    <w:p w:rsidR="009C31CC" w:rsidRDefault="009C31CC">
      <w:pPr>
        <w:pBdr>
          <w:top w:val="nil"/>
          <w:left w:val="nil"/>
          <w:bottom w:val="nil"/>
          <w:right w:val="nil"/>
          <w:between w:val="nil"/>
        </w:pBdr>
        <w:tabs>
          <w:tab w:val="left" w:pos="3402"/>
        </w:tabs>
        <w:spacing w:after="220" w:line="240" w:lineRule="auto"/>
        <w:rPr>
          <w:rFonts w:ascii="Arial" w:eastAsia="Arial" w:hAnsi="Arial" w:cs="Arial"/>
          <w:sz w:val="24"/>
          <w:szCs w:val="24"/>
        </w:rPr>
      </w:pPr>
    </w:p>
    <w:p w:rsidR="009C31CC" w:rsidRDefault="009C31CC">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9C31CC" w:rsidRDefault="00E97488">
      <w:pPr>
        <w:keepNext/>
        <w:pBdr>
          <w:top w:val="nil"/>
          <w:left w:val="nil"/>
          <w:bottom w:val="nil"/>
          <w:right w:val="nil"/>
          <w:between w:val="nil"/>
        </w:pBdr>
        <w:spacing w:after="240" w:line="240" w:lineRule="auto"/>
        <w:ind w:left="-1559"/>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rsidR="009C31CC" w:rsidRDefault="00E97488">
      <w:pPr>
        <w:numPr>
          <w:ilvl w:val="0"/>
          <w:numId w:val="4"/>
        </w:numPr>
        <w:pBdr>
          <w:top w:val="nil"/>
          <w:left w:val="nil"/>
          <w:bottom w:val="nil"/>
          <w:right w:val="nil"/>
          <w:between w:val="nil"/>
        </w:pBdr>
        <w:tabs>
          <w:tab w:val="left" w:pos="142"/>
        </w:tabs>
        <w:spacing w:before="240" w:after="120" w:line="240" w:lineRule="auto"/>
        <w:ind w:left="-705" w:hanging="705"/>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rsidR="009C31CC" w:rsidRDefault="009C31CC">
      <w:pPr>
        <w:pBdr>
          <w:top w:val="nil"/>
          <w:left w:val="nil"/>
          <w:bottom w:val="nil"/>
          <w:right w:val="nil"/>
          <w:between w:val="nil"/>
        </w:pBdr>
        <w:spacing w:before="120" w:after="120" w:line="240" w:lineRule="auto"/>
        <w:ind w:left="720"/>
        <w:rPr>
          <w:rFonts w:ascii="Arial" w:eastAsia="Arial" w:hAnsi="Arial" w:cs="Arial"/>
          <w:sz w:val="24"/>
          <w:szCs w:val="24"/>
        </w:rPr>
      </w:pPr>
    </w:p>
    <w:p w:rsidR="009C31CC" w:rsidRDefault="00E97488">
      <w:pPr>
        <w:pBdr>
          <w:top w:val="nil"/>
          <w:left w:val="nil"/>
          <w:bottom w:val="nil"/>
          <w:right w:val="nil"/>
          <w:between w:val="nil"/>
        </w:pBdr>
        <w:spacing w:before="120" w:after="120" w:line="240" w:lineRule="auto"/>
        <w:ind w:left="-708"/>
        <w:rPr>
          <w:rFonts w:ascii="Arial" w:eastAsia="Arial" w:hAnsi="Arial" w:cs="Arial"/>
          <w:sz w:val="24"/>
          <w:szCs w:val="24"/>
        </w:rPr>
      </w:pPr>
      <w:r>
        <w:rPr>
          <w:rFonts w:ascii="Arial" w:eastAsia="Arial" w:hAnsi="Arial" w:cs="Arial"/>
          <w:color w:val="000000"/>
          <w:sz w:val="24"/>
          <w:szCs w:val="24"/>
        </w:rPr>
        <w:t>If the level of performance of the Supplier:</w:t>
      </w:r>
    </w:p>
    <w:p w:rsidR="009C31CC" w:rsidRDefault="00E97488">
      <w:pPr>
        <w:numPr>
          <w:ilvl w:val="1"/>
          <w:numId w:val="4"/>
        </w:numPr>
        <w:pBdr>
          <w:top w:val="nil"/>
          <w:left w:val="nil"/>
          <w:bottom w:val="nil"/>
          <w:right w:val="nil"/>
          <w:between w:val="nil"/>
        </w:pBdr>
        <w:spacing w:before="120" w:after="120" w:line="240" w:lineRule="auto"/>
        <w:ind w:left="285" w:hanging="570"/>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9C31CC" w:rsidRDefault="00E97488">
      <w:pPr>
        <w:numPr>
          <w:ilvl w:val="1"/>
          <w:numId w:val="4"/>
        </w:numPr>
        <w:pBdr>
          <w:top w:val="nil"/>
          <w:left w:val="nil"/>
          <w:bottom w:val="nil"/>
          <w:right w:val="nil"/>
          <w:between w:val="nil"/>
        </w:pBdr>
        <w:spacing w:before="120" w:after="120" w:line="240" w:lineRule="auto"/>
        <w:ind w:left="285" w:hanging="568"/>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w:t>
      </w:r>
      <w:r>
        <w:rPr>
          <w:rFonts w:ascii="Arial" w:eastAsia="Arial" w:hAnsi="Arial" w:cs="Arial"/>
          <w:sz w:val="24"/>
          <w:szCs w:val="24"/>
        </w:rPr>
        <w:t xml:space="preserve">Level </w:t>
      </w:r>
      <w:r>
        <w:rPr>
          <w:rFonts w:ascii="Arial" w:eastAsia="Arial" w:hAnsi="Arial" w:cs="Arial"/>
          <w:color w:val="000000"/>
          <w:sz w:val="24"/>
          <w:szCs w:val="24"/>
        </w:rPr>
        <w:t>Failure to occur, the Supplier shall immediately notify the Buyer in writing and the Buyer, in its absolute discretion and without limiting any other of its rights, may:</w:t>
      </w:r>
    </w:p>
    <w:p w:rsidR="009C31CC" w:rsidRDefault="00E97488">
      <w:pPr>
        <w:numPr>
          <w:ilvl w:val="2"/>
          <w:numId w:val="4"/>
        </w:numPr>
        <w:pBdr>
          <w:top w:val="nil"/>
          <w:left w:val="nil"/>
          <w:bottom w:val="nil"/>
          <w:right w:val="nil"/>
          <w:between w:val="nil"/>
        </w:pBdr>
        <w:spacing w:before="120" w:after="120" w:line="240" w:lineRule="auto"/>
        <w:ind w:left="1133" w:hanging="283"/>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9C31CC" w:rsidRDefault="00E97488">
      <w:pPr>
        <w:numPr>
          <w:ilvl w:val="2"/>
          <w:numId w:val="4"/>
        </w:numPr>
        <w:pBdr>
          <w:top w:val="nil"/>
          <w:left w:val="nil"/>
          <w:bottom w:val="nil"/>
          <w:right w:val="nil"/>
          <w:between w:val="nil"/>
        </w:pBdr>
        <w:tabs>
          <w:tab w:val="left" w:pos="3255"/>
        </w:tabs>
        <w:spacing w:before="120" w:after="120" w:line="240" w:lineRule="auto"/>
        <w:ind w:left="1133" w:hanging="283"/>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9C31CC" w:rsidRDefault="00E97488">
      <w:pPr>
        <w:pBdr>
          <w:top w:val="nil"/>
          <w:left w:val="nil"/>
          <w:bottom w:val="nil"/>
          <w:right w:val="nil"/>
          <w:between w:val="nil"/>
        </w:pBdr>
        <w:spacing w:before="120" w:after="120" w:line="240" w:lineRule="auto"/>
        <w:ind w:left="283" w:hanging="992"/>
        <w:rPr>
          <w:rFonts w:ascii="Arial" w:eastAsia="Arial" w:hAnsi="Arial" w:cs="Arial"/>
          <w:sz w:val="24"/>
          <w:szCs w:val="24"/>
          <w:highlight w:val="white"/>
        </w:rPr>
      </w:pPr>
      <w:r>
        <w:rPr>
          <w:rFonts w:ascii="Arial" w:eastAsia="Arial" w:hAnsi="Arial" w:cs="Arial"/>
          <w:sz w:val="24"/>
          <w:szCs w:val="24"/>
        </w:rPr>
        <w:t>1.3</w:t>
      </w:r>
      <w:r>
        <w:rPr>
          <w:rFonts w:ascii="Arial" w:eastAsia="Arial" w:hAnsi="Arial" w:cs="Arial"/>
          <w:sz w:val="24"/>
          <w:szCs w:val="24"/>
        </w:rPr>
        <w:tab/>
      </w:r>
      <w:r>
        <w:rPr>
          <w:rFonts w:ascii="Arial" w:eastAsia="Arial" w:hAnsi="Arial" w:cs="Arial"/>
          <w:color w:val="000000"/>
          <w:sz w:val="24"/>
          <w:szCs w:val="24"/>
          <w:highlight w:val="white"/>
        </w:rPr>
        <w:t xml:space="preserve">if a Service Level Failure has occurred, deduct the applicable Service Credits payable by the Supplier, to the Buyer.  </w:t>
      </w:r>
      <w:r>
        <w:rPr>
          <w:rFonts w:ascii="Arial" w:eastAsia="Arial" w:hAnsi="Arial" w:cs="Arial"/>
          <w:sz w:val="24"/>
          <w:szCs w:val="24"/>
          <w:highlight w:val="white"/>
        </w:rPr>
        <w:t>If a Buyer has signed an Order Form with a Supplier with £0 (zero) transaction fees, any applicable Service Credits due need to be returned to the Customer in form of a credit note</w:t>
      </w:r>
      <w:r>
        <w:rPr>
          <w:rFonts w:ascii="Arial" w:eastAsia="Arial" w:hAnsi="Arial" w:cs="Arial"/>
          <w:sz w:val="20"/>
          <w:szCs w:val="20"/>
          <w:highlight w:val="white"/>
        </w:rPr>
        <w:t>;</w:t>
      </w:r>
      <w:r>
        <w:rPr>
          <w:rFonts w:ascii="Arial" w:eastAsia="Arial" w:hAnsi="Arial" w:cs="Arial"/>
          <w:sz w:val="24"/>
          <w:szCs w:val="24"/>
          <w:highlight w:val="white"/>
        </w:rPr>
        <w:t xml:space="preserve"> </w:t>
      </w:r>
      <w:r>
        <w:rPr>
          <w:rFonts w:ascii="Arial" w:eastAsia="Arial" w:hAnsi="Arial" w:cs="Arial"/>
          <w:color w:val="000000"/>
          <w:sz w:val="24"/>
          <w:szCs w:val="24"/>
          <w:highlight w:val="white"/>
        </w:rPr>
        <w:t xml:space="preserve">and/or </w:t>
      </w:r>
    </w:p>
    <w:p w:rsidR="009C31CC" w:rsidRDefault="00E97488">
      <w:pPr>
        <w:pBdr>
          <w:top w:val="nil"/>
          <w:left w:val="nil"/>
          <w:bottom w:val="nil"/>
          <w:right w:val="nil"/>
          <w:between w:val="nil"/>
        </w:pBdr>
        <w:spacing w:before="120" w:after="120" w:line="240" w:lineRule="auto"/>
        <w:ind w:left="283" w:hanging="992"/>
        <w:rPr>
          <w:rFonts w:ascii="Arial" w:eastAsia="Arial" w:hAnsi="Arial" w:cs="Arial"/>
          <w:color w:val="000000"/>
          <w:sz w:val="24"/>
          <w:szCs w:val="24"/>
        </w:rPr>
      </w:pPr>
      <w:r>
        <w:rPr>
          <w:rFonts w:ascii="Arial" w:eastAsia="Arial" w:hAnsi="Arial" w:cs="Arial"/>
          <w:sz w:val="24"/>
          <w:szCs w:val="24"/>
          <w:highlight w:val="white"/>
        </w:rPr>
        <w:t xml:space="preserve">1.4 </w:t>
      </w:r>
      <w:r>
        <w:rPr>
          <w:rFonts w:ascii="Arial" w:eastAsia="Arial" w:hAnsi="Arial" w:cs="Arial"/>
          <w:sz w:val="24"/>
          <w:szCs w:val="24"/>
          <w:highlight w:val="white"/>
        </w:rPr>
        <w:tab/>
      </w:r>
      <w:r>
        <w:rPr>
          <w:rFonts w:ascii="Arial" w:eastAsia="Arial" w:hAnsi="Arial" w:cs="Arial"/>
          <w:color w:val="000000"/>
          <w:sz w:val="24"/>
          <w:szCs w:val="24"/>
          <w:highlight w:val="white"/>
        </w:rPr>
        <w:t>if a Critical Service Level Failure has occurred,</w:t>
      </w:r>
      <w:r>
        <w:rPr>
          <w:rFonts w:ascii="Arial" w:eastAsia="Arial" w:hAnsi="Arial" w:cs="Arial"/>
          <w:color w:val="000000"/>
          <w:sz w:val="24"/>
          <w:szCs w:val="24"/>
        </w:rPr>
        <w:t xml:space="preserve"> exercise its right to </w:t>
      </w:r>
      <w:r>
        <w:rPr>
          <w:rFonts w:ascii="Arial" w:eastAsia="Arial" w:hAnsi="Arial" w:cs="Arial"/>
          <w:color w:val="000000"/>
          <w:sz w:val="24"/>
          <w:szCs w:val="24"/>
          <w:highlight w:val="white"/>
        </w:rPr>
        <w:t xml:space="preserve">Compensation for Critical Service Level </w:t>
      </w:r>
      <w:r>
        <w:rPr>
          <w:rFonts w:ascii="Arial" w:eastAsia="Arial" w:hAnsi="Arial" w:cs="Arial"/>
          <w:color w:val="000000"/>
          <w:sz w:val="24"/>
          <w:szCs w:val="24"/>
        </w:rPr>
        <w:t xml:space="preserve">Failure (including the right to terminate </w:t>
      </w:r>
      <w:r>
        <w:rPr>
          <w:rFonts w:ascii="Arial" w:eastAsia="Arial" w:hAnsi="Arial" w:cs="Arial"/>
          <w:sz w:val="24"/>
          <w:szCs w:val="24"/>
        </w:rPr>
        <w:t xml:space="preserve">this Contract </w:t>
      </w:r>
      <w:r>
        <w:rPr>
          <w:rFonts w:ascii="Arial" w:eastAsia="Arial" w:hAnsi="Arial" w:cs="Arial"/>
          <w:color w:val="000000"/>
          <w:sz w:val="24"/>
          <w:szCs w:val="24"/>
        </w:rPr>
        <w:t xml:space="preserve"> for material Default).</w:t>
      </w:r>
    </w:p>
    <w:p w:rsidR="009C31CC" w:rsidRDefault="00E97488">
      <w:pPr>
        <w:numPr>
          <w:ilvl w:val="0"/>
          <w:numId w:val="4"/>
        </w:numPr>
        <w:pBdr>
          <w:top w:val="nil"/>
          <w:left w:val="nil"/>
          <w:bottom w:val="nil"/>
          <w:right w:val="nil"/>
          <w:between w:val="nil"/>
        </w:pBdr>
        <w:tabs>
          <w:tab w:val="left" w:pos="142"/>
        </w:tabs>
        <w:spacing w:before="240" w:after="120" w:line="240" w:lineRule="auto"/>
        <w:ind w:left="-708" w:hanging="850"/>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rsidR="009C31CC" w:rsidRDefault="00E97488">
      <w:pPr>
        <w:numPr>
          <w:ilvl w:val="1"/>
          <w:numId w:val="4"/>
        </w:numPr>
        <w:pBdr>
          <w:top w:val="nil"/>
          <w:left w:val="nil"/>
          <w:bottom w:val="nil"/>
          <w:right w:val="nil"/>
          <w:between w:val="nil"/>
        </w:pBdr>
        <w:spacing w:before="120" w:after="120" w:line="240" w:lineRule="auto"/>
        <w:ind w:left="283" w:hanging="566"/>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9C31CC" w:rsidRDefault="00E97488">
      <w:pPr>
        <w:numPr>
          <w:ilvl w:val="1"/>
          <w:numId w:val="4"/>
        </w:numPr>
        <w:pBdr>
          <w:top w:val="nil"/>
          <w:left w:val="nil"/>
          <w:bottom w:val="nil"/>
          <w:right w:val="nil"/>
          <w:between w:val="nil"/>
        </w:pBdr>
        <w:spacing w:before="120" w:after="120" w:line="240" w:lineRule="auto"/>
        <w:ind w:left="283" w:hanging="566"/>
        <w:rPr>
          <w:rFonts w:ascii="Arial" w:eastAsia="Arial" w:hAnsi="Arial" w:cs="Arial"/>
          <w:color w:val="000000"/>
          <w:sz w:val="24"/>
          <w:szCs w:val="24"/>
        </w:rPr>
      </w:pPr>
      <w:r>
        <w:rPr>
          <w:rFonts w:ascii="Arial" w:eastAsia="Arial" w:hAnsi="Arial" w:cs="Arial"/>
          <w:color w:val="000000"/>
          <w:sz w:val="24"/>
          <w:szCs w:val="24"/>
        </w:rPr>
        <w:t>Service Credits are a reduction of the amounts payable in respect of the Deliverables and do not include VAT. The Supplier shall set-off the value of any Service Credits against the appropriate invoice or credit note in accordance with 1.3, in accordance with the calculation formula in the Annex to Part A of this Schedule.</w:t>
      </w:r>
    </w:p>
    <w:p w:rsidR="009C31CC" w:rsidRDefault="00E97488">
      <w:pPr>
        <w:numPr>
          <w:ilvl w:val="1"/>
          <w:numId w:val="4"/>
        </w:numPr>
        <w:pBdr>
          <w:top w:val="nil"/>
          <w:left w:val="nil"/>
          <w:bottom w:val="nil"/>
          <w:right w:val="nil"/>
          <w:between w:val="nil"/>
        </w:pBdr>
        <w:spacing w:before="120" w:after="120" w:line="240" w:lineRule="auto"/>
        <w:ind w:left="283" w:hanging="566"/>
        <w:rPr>
          <w:rFonts w:ascii="Arial" w:eastAsia="Arial" w:hAnsi="Arial" w:cs="Arial"/>
          <w:color w:val="000000"/>
          <w:sz w:val="24"/>
          <w:szCs w:val="24"/>
        </w:rPr>
        <w:sectPr w:rsidR="009C31CC">
          <w:headerReference w:type="default" r:id="rId8"/>
          <w:footerReference w:type="default" r:id="rId9"/>
          <w:headerReference w:type="first" r:id="rId10"/>
          <w:footerReference w:type="first" r:id="rId11"/>
          <w:pgSz w:w="11906" w:h="16838"/>
          <w:pgMar w:top="1440" w:right="1440" w:bottom="1440" w:left="2834" w:header="709" w:footer="709" w:gutter="0"/>
          <w:pgNumType w:start="1"/>
          <w:cols w:space="720"/>
        </w:sectPr>
      </w:pPr>
      <w:r>
        <w:rPr>
          <w:rFonts w:ascii="Arial" w:eastAsia="Arial" w:hAnsi="Arial" w:cs="Arial"/>
          <w:color w:val="000000"/>
          <w:sz w:val="24"/>
          <w:szCs w:val="24"/>
        </w:rPr>
        <w:t xml:space="preserve">For the purpose of the Service Credit calculations in the Annex to this Schedule, one (1) Service Credit is equal to the sum of one £1 Pound Sterling (£1).  </w:t>
      </w:r>
    </w:p>
    <w:p w:rsidR="009C31CC" w:rsidRDefault="00E97488">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36"/>
          <w:szCs w:val="36"/>
        </w:rPr>
        <w:lastRenderedPageBreak/>
        <w:t>Annex A to Part A: Service Levels and Service Credits Table</w:t>
      </w:r>
    </w:p>
    <w:p w:rsidR="009C31CC" w:rsidRDefault="00E97488">
      <w:pPr>
        <w:pBdr>
          <w:top w:val="nil"/>
          <w:left w:val="nil"/>
          <w:bottom w:val="nil"/>
          <w:right w:val="nil"/>
          <w:between w:val="nil"/>
        </w:pBdr>
        <w:spacing w:before="100"/>
        <w:rPr>
          <w:b/>
          <w:i/>
          <w:color w:val="000000"/>
        </w:rPr>
      </w:pPr>
      <w:r>
        <w:rPr>
          <w:b/>
          <w:i/>
          <w:highlight w:val="yellow"/>
        </w:rPr>
        <w:t xml:space="preserve">[Buyer Guidance Note: The following table and calculation are included by way of example only. Procurement-specific Service Levels (or KPIs) and formulae, including Service Levels relating to Social Value, should be incorporated. In line with the </w:t>
      </w:r>
      <w:hyperlink r:id="rId12">
        <w:r>
          <w:rPr>
            <w:b/>
            <w:i/>
            <w:color w:val="0000FF"/>
            <w:highlight w:val="yellow"/>
            <w:u w:val="single"/>
          </w:rPr>
          <w:t>Sourcing Playbook</w:t>
        </w:r>
      </w:hyperlink>
      <w:r>
        <w:rPr>
          <w:b/>
          <w:i/>
          <w:highlight w:val="yellow"/>
        </w:rPr>
        <w:t>,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p>
    <w:p w:rsidR="009C31CC" w:rsidRDefault="009C31CC">
      <w:pPr>
        <w:ind w:left="709"/>
        <w:rPr>
          <w:rFonts w:ascii="Arial" w:eastAsia="Arial" w:hAnsi="Arial" w:cs="Arial"/>
          <w:sz w:val="24"/>
          <w:szCs w:val="24"/>
        </w:rPr>
      </w:pPr>
    </w:p>
    <w:tbl>
      <w:tblPr>
        <w:tblStyle w:val="a0"/>
        <w:tblW w:w="142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799"/>
        <w:gridCol w:w="1249"/>
        <w:gridCol w:w="2943"/>
        <w:gridCol w:w="2553"/>
        <w:gridCol w:w="1331"/>
        <w:gridCol w:w="1848"/>
        <w:gridCol w:w="1788"/>
        <w:gridCol w:w="993"/>
        <w:gridCol w:w="716"/>
      </w:tblGrid>
      <w:tr w:rsidR="009C31CC">
        <w:trPr>
          <w:trHeight w:val="1213"/>
          <w:tblHeader/>
          <w:jc w:val="center"/>
        </w:trPr>
        <w:tc>
          <w:tcPr>
            <w:tcW w:w="798" w:type="dxa"/>
            <w:shd w:val="clear" w:color="auto" w:fill="D9D9D9"/>
          </w:tcPr>
          <w:p w:rsidR="009C31CC" w:rsidRDefault="00E97488">
            <w:pPr>
              <w:ind w:left="61" w:right="52"/>
              <w:rPr>
                <w:rFonts w:ascii="Arial" w:eastAsia="Arial" w:hAnsi="Arial" w:cs="Arial"/>
                <w:b/>
                <w:sz w:val="18"/>
                <w:szCs w:val="18"/>
              </w:rPr>
            </w:pPr>
            <w:r>
              <w:rPr>
                <w:rFonts w:ascii="Arial" w:eastAsia="Arial" w:hAnsi="Arial" w:cs="Arial"/>
                <w:b/>
                <w:sz w:val="18"/>
                <w:szCs w:val="18"/>
              </w:rPr>
              <w:lastRenderedPageBreak/>
              <w:t xml:space="preserve">SLA Ref </w:t>
            </w:r>
          </w:p>
        </w:tc>
        <w:tc>
          <w:tcPr>
            <w:tcW w:w="1248" w:type="dxa"/>
            <w:shd w:val="clear" w:color="auto" w:fill="D9D9D9"/>
            <w:vAlign w:val="center"/>
          </w:tcPr>
          <w:p w:rsidR="009C31CC" w:rsidRDefault="00E97488">
            <w:pPr>
              <w:ind w:left="61"/>
              <w:rPr>
                <w:rFonts w:ascii="Arial" w:eastAsia="Arial" w:hAnsi="Arial" w:cs="Arial"/>
                <w:b/>
                <w:sz w:val="18"/>
                <w:szCs w:val="18"/>
              </w:rPr>
            </w:pPr>
            <w:r>
              <w:rPr>
                <w:rFonts w:ascii="Arial" w:eastAsia="Arial" w:hAnsi="Arial" w:cs="Arial"/>
                <w:b/>
                <w:sz w:val="18"/>
                <w:szCs w:val="18"/>
              </w:rPr>
              <w:t>Service Level Performance Criterion</w:t>
            </w:r>
          </w:p>
        </w:tc>
        <w:tc>
          <w:tcPr>
            <w:tcW w:w="2943" w:type="dxa"/>
            <w:shd w:val="clear" w:color="auto" w:fill="D9D9D9"/>
          </w:tcPr>
          <w:p w:rsidR="009C31CC" w:rsidRDefault="00E97488">
            <w:pPr>
              <w:ind w:left="95"/>
              <w:rPr>
                <w:rFonts w:ascii="Arial" w:eastAsia="Arial" w:hAnsi="Arial" w:cs="Arial"/>
                <w:b/>
                <w:sz w:val="18"/>
                <w:szCs w:val="18"/>
              </w:rPr>
            </w:pPr>
            <w:r>
              <w:rPr>
                <w:rFonts w:ascii="Arial" w:eastAsia="Arial" w:hAnsi="Arial" w:cs="Arial"/>
                <w:b/>
                <w:sz w:val="18"/>
                <w:szCs w:val="18"/>
              </w:rPr>
              <w:t>Key Indicator</w:t>
            </w:r>
          </w:p>
        </w:tc>
        <w:tc>
          <w:tcPr>
            <w:tcW w:w="2553" w:type="dxa"/>
            <w:shd w:val="clear" w:color="auto" w:fill="D9D9D9"/>
          </w:tcPr>
          <w:p w:rsidR="009C31CC" w:rsidRDefault="00E97488">
            <w:pPr>
              <w:rPr>
                <w:rFonts w:ascii="Arial" w:eastAsia="Arial" w:hAnsi="Arial" w:cs="Arial"/>
                <w:b/>
                <w:sz w:val="18"/>
                <w:szCs w:val="18"/>
              </w:rPr>
            </w:pPr>
            <w:r>
              <w:rPr>
                <w:rFonts w:ascii="Arial" w:eastAsia="Arial" w:hAnsi="Arial" w:cs="Arial"/>
                <w:b/>
                <w:sz w:val="18"/>
                <w:szCs w:val="18"/>
              </w:rPr>
              <w:t>Service Level Performance Measure</w:t>
            </w:r>
          </w:p>
        </w:tc>
        <w:tc>
          <w:tcPr>
            <w:tcW w:w="1331" w:type="dxa"/>
            <w:shd w:val="clear" w:color="auto" w:fill="D9D9D9"/>
          </w:tcPr>
          <w:p w:rsidR="009C31CC" w:rsidRDefault="00E97488">
            <w:pPr>
              <w:ind w:left="95"/>
              <w:rPr>
                <w:rFonts w:ascii="Arial" w:eastAsia="Arial" w:hAnsi="Arial" w:cs="Arial"/>
                <w:b/>
                <w:sz w:val="18"/>
                <w:szCs w:val="18"/>
              </w:rPr>
            </w:pPr>
            <w:r>
              <w:rPr>
                <w:rFonts w:ascii="Arial" w:eastAsia="Arial" w:hAnsi="Arial" w:cs="Arial"/>
                <w:b/>
                <w:sz w:val="18"/>
                <w:szCs w:val="18"/>
              </w:rPr>
              <w:t>Service Level Threshold</w:t>
            </w:r>
          </w:p>
        </w:tc>
        <w:tc>
          <w:tcPr>
            <w:tcW w:w="1848" w:type="dxa"/>
            <w:shd w:val="clear" w:color="auto" w:fill="D9D9D9"/>
          </w:tcPr>
          <w:p w:rsidR="009C31CC" w:rsidRDefault="00E97488">
            <w:pPr>
              <w:ind w:left="95"/>
              <w:rPr>
                <w:rFonts w:ascii="Arial" w:eastAsia="Arial" w:hAnsi="Arial" w:cs="Arial"/>
                <w:b/>
                <w:sz w:val="18"/>
                <w:szCs w:val="18"/>
              </w:rPr>
            </w:pPr>
            <w:r>
              <w:rPr>
                <w:rFonts w:ascii="Arial" w:eastAsia="Arial" w:hAnsi="Arial" w:cs="Arial"/>
                <w:b/>
                <w:sz w:val="18"/>
                <w:szCs w:val="18"/>
              </w:rPr>
              <w:t>Monitoring &amp; Reporting</w:t>
            </w:r>
          </w:p>
        </w:tc>
        <w:tc>
          <w:tcPr>
            <w:tcW w:w="1788" w:type="dxa"/>
            <w:shd w:val="clear" w:color="auto" w:fill="D9D9D9"/>
          </w:tcPr>
          <w:p w:rsidR="009C31CC" w:rsidRDefault="00E97488">
            <w:pPr>
              <w:ind w:left="95"/>
              <w:rPr>
                <w:rFonts w:ascii="Arial" w:eastAsia="Arial" w:hAnsi="Arial" w:cs="Arial"/>
                <w:b/>
                <w:sz w:val="18"/>
                <w:szCs w:val="18"/>
              </w:rPr>
            </w:pPr>
            <w:r>
              <w:rPr>
                <w:rFonts w:ascii="Arial" w:eastAsia="Arial" w:hAnsi="Arial" w:cs="Arial"/>
                <w:b/>
                <w:sz w:val="18"/>
                <w:szCs w:val="18"/>
              </w:rPr>
              <w:t>Service Credit for each Service Period</w:t>
            </w:r>
          </w:p>
          <w:p w:rsidR="009C31CC" w:rsidRDefault="009C31CC">
            <w:pPr>
              <w:ind w:left="95"/>
              <w:rPr>
                <w:rFonts w:ascii="Arial" w:eastAsia="Arial" w:hAnsi="Arial" w:cs="Arial"/>
                <w:b/>
                <w:sz w:val="18"/>
                <w:szCs w:val="18"/>
              </w:rPr>
            </w:pPr>
          </w:p>
        </w:tc>
        <w:tc>
          <w:tcPr>
            <w:tcW w:w="993" w:type="dxa"/>
            <w:shd w:val="clear" w:color="auto" w:fill="D9D9D9"/>
          </w:tcPr>
          <w:p w:rsidR="009C31CC" w:rsidRDefault="00E97488">
            <w:pPr>
              <w:ind w:left="95"/>
              <w:rPr>
                <w:rFonts w:ascii="Arial" w:eastAsia="Arial" w:hAnsi="Arial" w:cs="Arial"/>
                <w:b/>
                <w:sz w:val="18"/>
                <w:szCs w:val="18"/>
              </w:rPr>
            </w:pPr>
            <w:r>
              <w:rPr>
                <w:rFonts w:ascii="Arial" w:eastAsia="Arial" w:hAnsi="Arial" w:cs="Arial"/>
                <w:b/>
                <w:sz w:val="18"/>
                <w:szCs w:val="18"/>
              </w:rPr>
              <w:t>Applicable Lots</w:t>
            </w:r>
          </w:p>
        </w:tc>
        <w:tc>
          <w:tcPr>
            <w:tcW w:w="716" w:type="dxa"/>
            <w:shd w:val="clear" w:color="auto" w:fill="D9D9D9"/>
          </w:tcPr>
          <w:p w:rsidR="009C31CC" w:rsidRDefault="00E97488">
            <w:pPr>
              <w:ind w:left="95"/>
              <w:rPr>
                <w:rFonts w:ascii="Arial" w:eastAsia="Arial" w:hAnsi="Arial" w:cs="Arial"/>
                <w:b/>
                <w:sz w:val="18"/>
                <w:szCs w:val="18"/>
              </w:rPr>
            </w:pPr>
            <w:r>
              <w:rPr>
                <w:rFonts w:ascii="Arial" w:eastAsia="Arial" w:hAnsi="Arial" w:cs="Arial"/>
                <w:b/>
                <w:sz w:val="18"/>
                <w:szCs w:val="18"/>
              </w:rPr>
              <w:t xml:space="preserve">Publishable? </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SL1</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Online Booking System and mobile booking app, along with all Inventory availability</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Online Booking System and mobile booking app, along with all Inventory availability.</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The Supplier shall ensure that the Online Booking System, along with all Inventory is available 24 hours a day, 365 days per year (or 366 in a leap year) throughout the Call-Off Contract Period. This excludes any planned scheduled outages for system maintenance and/or system upgrades that have been mutually agreed with the Buyer.</w:t>
            </w:r>
          </w:p>
          <w:p w:rsidR="009C31CC" w:rsidRDefault="009C31CC">
            <w:pPr>
              <w:widowControl w:val="0"/>
              <w:spacing w:line="276" w:lineRule="auto"/>
              <w:rPr>
                <w:rFonts w:ascii="Arial" w:eastAsia="Arial" w:hAnsi="Arial" w:cs="Arial"/>
                <w:sz w:val="18"/>
                <w:szCs w:val="18"/>
              </w:rPr>
            </w:pPr>
          </w:p>
        </w:tc>
        <w:tc>
          <w:tcPr>
            <w:tcW w:w="2553" w:type="dxa"/>
            <w:shd w:val="clear" w:color="auto" w:fill="FFFFFF"/>
          </w:tcPr>
          <w:p w:rsidR="009C31CC" w:rsidRDefault="00E97488">
            <w:pPr>
              <w:rPr>
                <w:rFonts w:ascii="Arial" w:eastAsia="Arial" w:hAnsi="Arial" w:cs="Arial"/>
                <w:sz w:val="18"/>
                <w:szCs w:val="18"/>
              </w:rPr>
            </w:pPr>
            <w:r>
              <w:rPr>
                <w:rFonts w:ascii="Arial" w:eastAsia="Arial" w:hAnsi="Arial" w:cs="Arial"/>
                <w:sz w:val="18"/>
                <w:szCs w:val="18"/>
              </w:rPr>
              <w:t>Online Booking System and mobile booking app, along with all Inventory shall be available</w:t>
            </w:r>
          </w:p>
          <w:p w:rsidR="009C31CC" w:rsidRDefault="00E97488">
            <w:pPr>
              <w:rPr>
                <w:rFonts w:ascii="Arial" w:eastAsia="Arial" w:hAnsi="Arial" w:cs="Arial"/>
                <w:sz w:val="18"/>
                <w:szCs w:val="18"/>
              </w:rPr>
            </w:pPr>
            <w:r>
              <w:rPr>
                <w:rFonts w:ascii="Arial" w:eastAsia="Arial" w:hAnsi="Arial" w:cs="Arial"/>
                <w:sz w:val="18"/>
                <w:szCs w:val="18"/>
              </w:rPr>
              <w:t>100% of the available minutes.</w:t>
            </w:r>
          </w:p>
          <w:p w:rsidR="009C31CC" w:rsidRDefault="009C31CC">
            <w:pPr>
              <w:rPr>
                <w:rFonts w:ascii="Arial" w:eastAsia="Arial" w:hAnsi="Arial" w:cs="Arial"/>
                <w:sz w:val="18"/>
                <w:szCs w:val="18"/>
              </w:rPr>
            </w:pPr>
          </w:p>
          <w:p w:rsidR="009C31CC" w:rsidRDefault="00E97488">
            <w:pPr>
              <w:rPr>
                <w:rFonts w:ascii="Arial" w:eastAsia="Arial" w:hAnsi="Arial" w:cs="Arial"/>
                <w:sz w:val="18"/>
                <w:szCs w:val="18"/>
              </w:rPr>
            </w:pPr>
            <w:r>
              <w:rPr>
                <w:rFonts w:ascii="Arial" w:eastAsia="Arial" w:hAnsi="Arial" w:cs="Arial"/>
                <w:sz w:val="18"/>
                <w:szCs w:val="18"/>
              </w:rPr>
              <w:t>Online Booking System and mobile booking app, along with all Inventory availability is measured as 1440 minutes per day x number of days in reporting Month.</w:t>
            </w:r>
          </w:p>
        </w:tc>
        <w:tc>
          <w:tcPr>
            <w:tcW w:w="1331" w:type="dxa"/>
            <w:shd w:val="clear" w:color="auto" w:fill="FFFFFF"/>
          </w:tcPr>
          <w:p w:rsidR="009C31CC" w:rsidRDefault="00E97488">
            <w:pPr>
              <w:ind w:left="95"/>
              <w:rPr>
                <w:rFonts w:ascii="Arial" w:eastAsia="Arial" w:hAnsi="Arial" w:cs="Arial"/>
                <w:sz w:val="18"/>
                <w:szCs w:val="18"/>
              </w:rPr>
            </w:pPr>
            <w:r>
              <w:rPr>
                <w:rFonts w:ascii="Arial" w:eastAsia="Arial" w:hAnsi="Arial" w:cs="Arial"/>
                <w:sz w:val="18"/>
                <w:szCs w:val="18"/>
              </w:rPr>
              <w:t>85%</w:t>
            </w:r>
          </w:p>
        </w:tc>
        <w:tc>
          <w:tcPr>
            <w:tcW w:w="1848" w:type="dxa"/>
            <w:shd w:val="clear" w:color="auto" w:fill="FFFFFF"/>
            <w:vAlign w:val="cente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Supplier shall provide the Service Credit Performance Monitoring Report to the Buyer. Template and delivery to be agreed in accordance with Paragraph 1</w:t>
            </w:r>
            <w:r>
              <w:rPr>
                <w:rFonts w:ascii="Arial" w:eastAsia="Arial" w:hAnsi="Arial" w:cs="Arial"/>
                <w:b/>
                <w:sz w:val="18"/>
                <w:szCs w:val="18"/>
              </w:rPr>
              <w:t xml:space="preserve"> </w:t>
            </w:r>
            <w:r>
              <w:rPr>
                <w:rFonts w:ascii="Arial" w:eastAsia="Arial" w:hAnsi="Arial" w:cs="Arial"/>
                <w:sz w:val="18"/>
                <w:szCs w:val="18"/>
              </w:rPr>
              <w:t>of Part B of this Schedule.</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The Buyer shall retain the right to audit and/or conduct spot checks.</w:t>
            </w:r>
          </w:p>
        </w:tc>
        <w:tc>
          <w:tcPr>
            <w:tcW w:w="1788" w:type="dxa"/>
            <w:shd w:val="clear" w:color="auto" w:fill="FFFFFF"/>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20</w:t>
            </w:r>
          </w:p>
          <w:p w:rsidR="009C31CC" w:rsidRDefault="00E97488">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Service credits for each and every 0.2% below the Service Level Performance Measure.</w:t>
            </w:r>
          </w:p>
        </w:tc>
        <w:tc>
          <w:tcPr>
            <w:tcW w:w="993" w:type="dxa"/>
            <w:shd w:val="clear" w:color="auto" w:fill="FFFFFF"/>
          </w:tcPr>
          <w:p w:rsidR="009C31CC" w:rsidRDefault="00E97488">
            <w:pPr>
              <w:ind w:left="95"/>
              <w:rPr>
                <w:rFonts w:ascii="Arial" w:eastAsia="Arial" w:hAnsi="Arial" w:cs="Arial"/>
                <w:sz w:val="18"/>
                <w:szCs w:val="18"/>
              </w:rPr>
            </w:pPr>
            <w:r>
              <w:rPr>
                <w:rFonts w:ascii="Arial" w:eastAsia="Arial" w:hAnsi="Arial" w:cs="Arial"/>
                <w:sz w:val="18"/>
                <w:szCs w:val="18"/>
              </w:rPr>
              <w:t>Lots 1 &amp; 2</w:t>
            </w:r>
          </w:p>
          <w:p w:rsidR="009C31CC" w:rsidRDefault="009C31CC">
            <w:pPr>
              <w:ind w:left="95"/>
              <w:rPr>
                <w:rFonts w:ascii="Arial" w:eastAsia="Arial" w:hAnsi="Arial" w:cs="Arial"/>
                <w:sz w:val="18"/>
                <w:szCs w:val="18"/>
              </w:rPr>
            </w:pPr>
          </w:p>
          <w:p w:rsidR="009C31CC" w:rsidRDefault="00E97488">
            <w:pPr>
              <w:ind w:left="95"/>
              <w:rPr>
                <w:rFonts w:ascii="Arial" w:eastAsia="Arial" w:hAnsi="Arial" w:cs="Arial"/>
                <w:sz w:val="18"/>
                <w:szCs w:val="18"/>
              </w:rPr>
            </w:pPr>
            <w:r>
              <w:rPr>
                <w:rFonts w:ascii="Arial" w:eastAsia="Arial" w:hAnsi="Arial" w:cs="Arial"/>
                <w:sz w:val="18"/>
                <w:szCs w:val="18"/>
              </w:rPr>
              <w:t>Lots 3 (Where supplier has the technology)</w:t>
            </w:r>
          </w:p>
        </w:tc>
        <w:tc>
          <w:tcPr>
            <w:tcW w:w="716" w:type="dxa"/>
            <w:shd w:val="clear" w:color="auto" w:fill="FFFFFF"/>
          </w:tcPr>
          <w:p w:rsidR="009C31CC" w:rsidRDefault="00E97488">
            <w:pPr>
              <w:ind w:left="95"/>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lastRenderedPageBreak/>
              <w:t>SL2</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Telephone answering times</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"Core Hours - All user telephone calls shall be answered within 30 seconds by a person.</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Non-core hours - All user telephone calls shall be answered within 30 seconds by a person. Any time an answer machine and/or automated attendant model is required to play a recorded message, this is included in the 30 seconds. Answer machines and/or automated attendant model shall be kept to 1 level."</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Core hours:</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90% of user calls answered within 30 seconds by a person (abandoned calls must be included in this measure).</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Non-core hours:</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80% of user calls answered within 30 seconds by a person (abandoned calls must be included in this measure)."</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9C31CC">
            <w:pPr>
              <w:widowControl w:val="0"/>
              <w:spacing w:line="276" w:lineRule="auto"/>
              <w:jc w:val="center"/>
              <w:rPr>
                <w:rFonts w:ascii="Arial" w:eastAsia="Arial" w:hAnsi="Arial" w:cs="Arial"/>
              </w:rPr>
            </w:pP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Core hours –</w:t>
            </w: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60%</w:t>
            </w: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Non-core hours –</w:t>
            </w: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50%</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As per SL1 (abandoned calls must be included in this measure).</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The Supplier must provide a Monthly telephone report as part of the Service Credit Performance Monitoring Report. Template and delivery to be agreed in accordance with Paragraph 1 of Part B of this Schedule.</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20</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Service credits per Buyer for each and every 0.2% below the Service Level Performance Measure.</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All Lots</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SL3</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Webchat/live chat (website/mobile app) response times</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Applicable where the supplier has this functionality. Live chat response within 40 seconds</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Core hours:</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90% of user live chat response within 40 seconds (abandoned chat to be included in this measure)</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Non-core hours:</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80% of user live chat response within 40 seconds (abandoned chat to be included in this measure)</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9C31CC">
            <w:pPr>
              <w:widowControl w:val="0"/>
              <w:spacing w:line="276" w:lineRule="auto"/>
              <w:jc w:val="center"/>
              <w:rPr>
                <w:rFonts w:ascii="Arial" w:eastAsia="Arial" w:hAnsi="Arial" w:cs="Arial"/>
              </w:rPr>
            </w:pP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Core hours –</w:t>
            </w: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60%</w:t>
            </w: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Non-core hours –</w:t>
            </w: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50%</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As per SL1. The supplier to have in place a mechanism to report the response times including those who abandoned the queue</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20</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Service credits per Buyer for each and every 0.2% below the Service Level Performance Measure.</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Lots 1 - 3 (Where supplier has the technology)</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lastRenderedPageBreak/>
              <w:t>SL4</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Booking completion times</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The Supplier shall as a minimum meet the following booking completion times:</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Online bookings shall be completed instantly.</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Offline phone bookings shall be completed while the Booker is on the phone (unless requested otherwise by the Booker). Where this isn’t practicable (for example if third party suppliers need to be contacted) bookings should be completed within 24 hours</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This also applies to email bookings but excludes group air, rail and accommodation bookings.</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"100% of online bookings to be completed and confirmed instantly. Exceptions are transactions that don’t have live availability/inventory.</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95% of offline phone bookings, exceptional online bookings (as per above) and email bookings, itineraries to be confirmed to Traveller and/or booked within 2 hours, allowing 4 hours for long haul (6+ hours) and multi sector (4+ sector) itineraries. This excludes emergency bookings, where immediate confirmation is required."</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90% of online bookings</w:t>
            </w: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85% of offline bookings</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As per SL1. Booking system data should contain log time and completion time of booking.</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50</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Service credits per Buyer for each and every 0.2% below the Service Level Performance Measure.</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Lots 1 &amp; 2</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Lots 3 (Where supplier has the technology for online element, refer to SL4.1)</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lastRenderedPageBreak/>
              <w:t>SL4.1</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Group / Venue Booking completion times</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The Supplier shall as a minimum meet the following booking completion times:</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Email bookings shall be responded to within 2 hours confirming an agent is assigned to this booking and are actioning the booking request. The agent shall provide an anticipated timeline to the Booker for completion of the booking.</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Offline phone bookings shall be followed by an email to the Booker confirming their request per the discussion on the phone and that the agent is actioning their booking.</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xml:space="preserve">Bookings should be completed within 24 hours. Where this is not practical (for example bookings that require a response from a </w:t>
            </w:r>
            <w:proofErr w:type="gramStart"/>
            <w:r>
              <w:rPr>
                <w:rFonts w:ascii="Arial" w:eastAsia="Arial" w:hAnsi="Arial" w:cs="Arial"/>
                <w:sz w:val="18"/>
                <w:szCs w:val="18"/>
              </w:rPr>
              <w:t>third party</w:t>
            </w:r>
            <w:proofErr w:type="gramEnd"/>
            <w:r>
              <w:rPr>
                <w:rFonts w:ascii="Arial" w:eastAsia="Arial" w:hAnsi="Arial" w:cs="Arial"/>
                <w:sz w:val="18"/>
                <w:szCs w:val="18"/>
              </w:rPr>
              <w:t xml:space="preserve"> supplier and/or a large and/or complex event) a time scale shall be agreed between the Buyer and Supplier.</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95% of group bookings responded to following a phone booking, or email booking, within 2 hours.</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xml:space="preserve">90% of group bookings completed within 24 hours. This excludes bookings where a response from a </w:t>
            </w:r>
            <w:proofErr w:type="gramStart"/>
            <w:r>
              <w:rPr>
                <w:rFonts w:ascii="Arial" w:eastAsia="Arial" w:hAnsi="Arial" w:cs="Arial"/>
                <w:sz w:val="18"/>
                <w:szCs w:val="18"/>
              </w:rPr>
              <w:t>third party</w:t>
            </w:r>
            <w:proofErr w:type="gramEnd"/>
            <w:r>
              <w:rPr>
                <w:rFonts w:ascii="Arial" w:eastAsia="Arial" w:hAnsi="Arial" w:cs="Arial"/>
                <w:sz w:val="18"/>
                <w:szCs w:val="18"/>
              </w:rPr>
              <w:t xml:space="preserve"> supplier is required.</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80% of group bookings within 2 hours.</w:t>
            </w: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75% of group bookings within 24 hours.</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Booking system data should contain log time and completion time of booking.</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50</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Service credits per Buyer for each and every 0.2% below the Service Level Performance Measure.</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Lot 3</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lastRenderedPageBreak/>
              <w:t>SL5</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Venue Find</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The Supplier shall provide quarterly written dashboard information of the additional benefits they have provided:</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number of bookings where the Supplier's more preferential CCS Standard Terms and Conditions have been provided compared to venues own</w:t>
            </w:r>
          </w:p>
          <w:p w:rsidR="009C31CC" w:rsidRDefault="00E97488">
            <w:pPr>
              <w:widowControl w:val="0"/>
              <w:rPr>
                <w:rFonts w:ascii="Arial" w:eastAsia="Arial" w:hAnsi="Arial" w:cs="Arial"/>
                <w:sz w:val="18"/>
                <w:szCs w:val="18"/>
              </w:rPr>
            </w:pPr>
            <w:r>
              <w:rPr>
                <w:rFonts w:ascii="Arial" w:eastAsia="Arial" w:hAnsi="Arial" w:cs="Arial"/>
                <w:sz w:val="18"/>
                <w:szCs w:val="18"/>
              </w:rPr>
              <w:t xml:space="preserve">*where the venues own terms were used, details of additional benefits and discounts that were negotiated for those venues </w:t>
            </w:r>
          </w:p>
          <w:p w:rsidR="009C31CC" w:rsidRDefault="00E97488">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  details of additional % discounts negotiated for each venue booking when applicable (any key stats that can be quantifiably provided would be an advantage) </w:t>
            </w:r>
            <w:proofErr w:type="spellStart"/>
            <w:r>
              <w:rPr>
                <w:rFonts w:ascii="Arial" w:eastAsia="Arial" w:hAnsi="Arial" w:cs="Arial"/>
                <w:sz w:val="18"/>
                <w:szCs w:val="18"/>
              </w:rPr>
              <w:t>ie</w:t>
            </w:r>
            <w:proofErr w:type="spellEnd"/>
            <w:r>
              <w:rPr>
                <w:rFonts w:ascii="Arial" w:eastAsia="Arial" w:hAnsi="Arial" w:cs="Arial"/>
                <w:sz w:val="18"/>
                <w:szCs w:val="18"/>
              </w:rPr>
              <w:t xml:space="preserve"> discount of 10% which equated to x costing.</w:t>
            </w:r>
          </w:p>
          <w:p w:rsidR="009C31CC" w:rsidRDefault="00E97488">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continuous improvement, innovation and how further benefits could be obtained by the customer i.e. analysis of key trends data and actions taken, processes to improve VFM or enhanced customer service and ways of working.</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99% accuracy and completeness of all data</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80%</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Reporting refer to Service Level Detail.</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20 Service credits for non-receipt of data on time.</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Lots 1 &amp; 3</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lastRenderedPageBreak/>
              <w:t>SL6</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 Response times and Complaints Management</w:t>
            </w: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B) Ratio of complaints against bookings made</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 Complaints management: The Supplier shall acknowledge all contact (including but not limited to emails/calls/voice mail/mobile apps/live web chat) regarding risks, issues, concerns, questions and complaints in relation to the Services within four (4) business hours of receipt and resolve them satisfactorily.</w:t>
            </w: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Number of upheld complaints against the Supplier performance should not exceed</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0.3%</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of the total bookings made. Note: this will not include complaints against third party providers.</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"Minimum</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98%</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of contact acknowledged within 4 business hours of receipt (automated acknowledgement emails/chatbot do not count as a response).</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1) Updates on how the Supplier is proactively working to seek a resolution shall be provided to the Buyer at intervals of 2 Working Days, until a satisfactory resolution has been agreed which is mutually acceptable to both parties.</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xml:space="preserve">2) 97% of complaints and issues to be resolved within 3 Working Days unless referred to a </w:t>
            </w:r>
            <w:proofErr w:type="gramStart"/>
            <w:r>
              <w:rPr>
                <w:rFonts w:ascii="Arial" w:eastAsia="Arial" w:hAnsi="Arial" w:cs="Arial"/>
                <w:sz w:val="18"/>
                <w:szCs w:val="18"/>
              </w:rPr>
              <w:t>third party</w:t>
            </w:r>
            <w:proofErr w:type="gramEnd"/>
            <w:r>
              <w:rPr>
                <w:rFonts w:ascii="Arial" w:eastAsia="Arial" w:hAnsi="Arial" w:cs="Arial"/>
                <w:sz w:val="18"/>
                <w:szCs w:val="18"/>
              </w:rPr>
              <w:t xml:space="preserve"> supplier.</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xml:space="preserve">3) If a complaint/issue is referred to a </w:t>
            </w:r>
            <w:proofErr w:type="gramStart"/>
            <w:r>
              <w:rPr>
                <w:rFonts w:ascii="Arial" w:eastAsia="Arial" w:hAnsi="Arial" w:cs="Arial"/>
                <w:sz w:val="18"/>
                <w:szCs w:val="18"/>
              </w:rPr>
              <w:t>third party</w:t>
            </w:r>
            <w:proofErr w:type="gramEnd"/>
            <w:r>
              <w:rPr>
                <w:rFonts w:ascii="Arial" w:eastAsia="Arial" w:hAnsi="Arial" w:cs="Arial"/>
                <w:sz w:val="18"/>
                <w:szCs w:val="18"/>
              </w:rPr>
              <w:t xml:space="preserve"> supplier these to be:</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 resolved within</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14 Working Days</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or</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b) an update provided every</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4 Working Days</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xml:space="preserve">until a satisfactory conclusion is reached. If the </w:t>
            </w:r>
            <w:proofErr w:type="gramStart"/>
            <w:r>
              <w:rPr>
                <w:rFonts w:ascii="Arial" w:eastAsia="Arial" w:hAnsi="Arial" w:cs="Arial"/>
                <w:sz w:val="18"/>
                <w:szCs w:val="18"/>
              </w:rPr>
              <w:t>third party</w:t>
            </w:r>
            <w:proofErr w:type="gramEnd"/>
            <w:r>
              <w:rPr>
                <w:rFonts w:ascii="Arial" w:eastAsia="Arial" w:hAnsi="Arial" w:cs="Arial"/>
                <w:sz w:val="18"/>
                <w:szCs w:val="18"/>
              </w:rPr>
              <w:t xml:space="preserve"> supplier is a provider of choice of the Supplier (including but not limited to a courier service or a visa service), the complaint measurements listed above in point 2) apply.</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Number of upheld complaints against the Supplier shall not exceed</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0.3%</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of total bookings made aggregated across all transaction types"</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90%</w:t>
            </w: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of contact acknowledged within 4 hours of receipt</w:t>
            </w: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 xml:space="preserve">80% of complaints and issues to be resolved within 3 working days unless referred to a </w:t>
            </w:r>
            <w:proofErr w:type="gramStart"/>
            <w:r>
              <w:rPr>
                <w:rFonts w:ascii="Arial" w:eastAsia="Arial" w:hAnsi="Arial" w:cs="Arial"/>
                <w:sz w:val="18"/>
                <w:szCs w:val="18"/>
              </w:rPr>
              <w:t>third party</w:t>
            </w:r>
            <w:proofErr w:type="gramEnd"/>
            <w:r>
              <w:rPr>
                <w:rFonts w:ascii="Arial" w:eastAsia="Arial" w:hAnsi="Arial" w:cs="Arial"/>
                <w:sz w:val="18"/>
                <w:szCs w:val="18"/>
              </w:rPr>
              <w:t xml:space="preserve"> supplier</w:t>
            </w:r>
          </w:p>
          <w:p w:rsidR="009C31CC" w:rsidRDefault="009C31CC">
            <w:pPr>
              <w:widowControl w:val="0"/>
              <w:spacing w:line="276" w:lineRule="auto"/>
              <w:jc w:val="center"/>
              <w:rPr>
                <w:rFonts w:ascii="Arial" w:eastAsia="Arial" w:hAnsi="Arial" w:cs="Arial"/>
                <w:sz w:val="18"/>
                <w:szCs w:val="18"/>
              </w:rPr>
            </w:pP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60 days</w:t>
            </w: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2%</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As per SL1</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20</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Service Credits for each and every 0.2% below the Service Level Performance Measure.</w:t>
            </w: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20</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Service Credits for every 0.02% above the Service Level Performance Measure.</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All Lots</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SL7</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Price Match</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All price match requests must be dealt with as per the specification.</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Supplier must report all successful price match requests. Supplier shall not exceed more than 5</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successful price-match requests per Month across all Call-Off Contracts.</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25</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As per SL1</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30 Service Credits per successful price match after the 6th successful price match.</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All Lots</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SL8</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Call Backs</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In the event that the Supplier is required to call back a user, they must do so within 2 business hours. If they are unable to reach the user they must follow up with another form of communication i.e. email or text.</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99% of call backs within 2 business hours.</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85%</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As per SL1</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20  Service Credits for each and every 0.2% below the Service Level Performance Measure.</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All Lots</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lastRenderedPageBreak/>
              <w:t>SL9</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Visa/ Passports</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Supplier shall alert each Traveller to any passport and visa requirements at the time of booking</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Supplier shall be responsible for the provision of all necessary forms and the processing of applications, which will be checked for accuracy and completeness upon receipt.</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Zero Buyer complaints regarding Supplier failure to provide Visa or Passport information to a Traveller on purchase</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5</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As per SL1</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30 Service Credits per failure or credits to the value of the missed travel if Traveller is unable to travel due to visa or passport requirements.</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Lot 1, 2</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SL10</w:t>
            </w:r>
          </w:p>
        </w:tc>
        <w:tc>
          <w:tcPr>
            <w:tcW w:w="12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Refunds</w:t>
            </w:r>
          </w:p>
        </w:tc>
        <w:tc>
          <w:tcPr>
            <w:tcW w:w="29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Applicable to:</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xml:space="preserve">  - Refunds for unused rail tickets (including unprinted tickets) and airline tickets which have been returned to the Supplier.</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xml:space="preserve">  - Refunds for uncollected rail tickets</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xml:space="preserve">  - Refunds for cancellations of prepaid hotel bookings</w:t>
            </w:r>
          </w:p>
        </w:tc>
        <w:tc>
          <w:tcPr>
            <w:tcW w:w="25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100% credited to Traveller's cost centre within 1 Month of date of intended travel and/or</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xml:space="preserve"> </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xml:space="preserve">  100% credited to Traveller's cost centre within 1 Month of ticket expiry date</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xml:space="preserve"> </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xml:space="preserve">  (This excludes when payment </w:t>
            </w:r>
            <w:proofErr w:type="gramStart"/>
            <w:r>
              <w:rPr>
                <w:rFonts w:ascii="Arial" w:eastAsia="Arial" w:hAnsi="Arial" w:cs="Arial"/>
                <w:sz w:val="18"/>
                <w:szCs w:val="18"/>
              </w:rPr>
              <w:t>are</w:t>
            </w:r>
            <w:proofErr w:type="gramEnd"/>
            <w:r>
              <w:rPr>
                <w:rFonts w:ascii="Arial" w:eastAsia="Arial" w:hAnsi="Arial" w:cs="Arial"/>
                <w:sz w:val="18"/>
                <w:szCs w:val="18"/>
              </w:rPr>
              <w:t xml:space="preserve"> dependable by 3rd parties)</w:t>
            </w:r>
          </w:p>
        </w:tc>
        <w:tc>
          <w:tcPr>
            <w:tcW w:w="133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90%</w:t>
            </w: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 xml:space="preserve"> </w:t>
            </w: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 xml:space="preserve"> </w:t>
            </w: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 xml:space="preserve"> </w:t>
            </w: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 xml:space="preserve">  90%</w:t>
            </w:r>
          </w:p>
        </w:tc>
        <w:tc>
          <w:tcPr>
            <w:tcW w:w="18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As per SL1</w:t>
            </w:r>
          </w:p>
        </w:tc>
        <w:tc>
          <w:tcPr>
            <w:tcW w:w="178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20</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Service Credits for every 0.2% below the Service Level Performance Measure</w:t>
            </w:r>
          </w:p>
        </w:tc>
        <w:tc>
          <w:tcPr>
            <w:tcW w:w="9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All Lots</w:t>
            </w:r>
          </w:p>
        </w:tc>
        <w:tc>
          <w:tcPr>
            <w:tcW w:w="7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SL11</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Quality Control</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Supplier to ensure accuracy of travel documentation and invoicing. Subject to audit, Supplier must meet a 98% accuracy rating.</w:t>
            </w:r>
          </w:p>
          <w:p w:rsidR="009C31CC" w:rsidRDefault="009C31CC">
            <w:pPr>
              <w:widowControl w:val="0"/>
              <w:spacing w:line="276" w:lineRule="auto"/>
              <w:rPr>
                <w:rFonts w:ascii="Arial" w:eastAsia="Arial" w:hAnsi="Arial" w:cs="Arial"/>
                <w:sz w:val="18"/>
                <w:szCs w:val="18"/>
              </w:rPr>
            </w:pP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98% accuracy rating</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Buyer complaints or issues reported due to this should be reviewed Monthly.</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85%</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As per SL1</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10 Service Credits per inaccurate travel documentation and/or recording of transaction.</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All Lots</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lastRenderedPageBreak/>
              <w:t>SL12</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Satisfaction Survey</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Supplier to conduct user satisfaction survey to review/measure user service performance in the following areas/points:</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Annual Buyer Traveller Satisfaction Survey and an Electronic Spot Buyer Traveller Satisfaction Survey:</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xml:space="preserve">measures general satisfaction, responsiveness of consultants to special requests, solutions to travelling </w:t>
            </w:r>
            <w:proofErr w:type="spellStart"/>
            <w:r>
              <w:rPr>
                <w:rFonts w:ascii="Arial" w:eastAsia="Arial" w:hAnsi="Arial" w:cs="Arial"/>
                <w:sz w:val="18"/>
                <w:szCs w:val="18"/>
              </w:rPr>
              <w:t>pax</w:t>
            </w:r>
            <w:proofErr w:type="spellEnd"/>
            <w:r>
              <w:rPr>
                <w:rFonts w:ascii="Arial" w:eastAsia="Arial" w:hAnsi="Arial" w:cs="Arial"/>
                <w:sz w:val="18"/>
                <w:szCs w:val="18"/>
              </w:rPr>
              <w:t xml:space="preserve">, expertise of consultants, </w:t>
            </w:r>
            <w:proofErr w:type="spellStart"/>
            <w:r>
              <w:rPr>
                <w:rFonts w:ascii="Arial" w:eastAsia="Arial" w:hAnsi="Arial" w:cs="Arial"/>
                <w:sz w:val="18"/>
                <w:szCs w:val="18"/>
              </w:rPr>
              <w:t>VfM</w:t>
            </w:r>
            <w:proofErr w:type="spellEnd"/>
            <w:r>
              <w:rPr>
                <w:rFonts w:ascii="Arial" w:eastAsia="Arial" w:hAnsi="Arial" w:cs="Arial"/>
                <w:sz w:val="18"/>
                <w:szCs w:val="18"/>
              </w:rPr>
              <w:t>.</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Frequency of survey to be determined by the Buyer to a maximum of four surveys annually. Results to be shared with Buyer in a timely manner.</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The Buyer’s survey needs to score a minimum average of 7.0 on a scale of 10 (1=Very Dissatisfied and 10=Very Satisfied).</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Annual Buyer Traveller Satisfaction Survey to be conducted for Travellers, travel managers annually and travel arrangers needs to score a minimum average of 7.0 on a scale of 10 (1=Very Dissatisfied and 10=Very Satisfied).</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Electronic Spot Buyer Traveller Satisfaction Survey to be shared after a Traveller booking (frequency to be agreed during implementation/call-off contract management).</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Supplier to send at least 2 reminders per survey to the Travellers.</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5</w:t>
            </w: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9C31CC">
            <w:pPr>
              <w:widowControl w:val="0"/>
              <w:spacing w:line="276" w:lineRule="auto"/>
              <w:jc w:val="center"/>
              <w:rPr>
                <w:rFonts w:ascii="Arial" w:eastAsia="Arial" w:hAnsi="Arial" w:cs="Arial"/>
                <w:sz w:val="18"/>
                <w:szCs w:val="18"/>
              </w:rPr>
            </w:pPr>
          </w:p>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5</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Successful delivery of areas/points to be evidenced at review meetings by Supplier (e.g. in form of a presentation covering every point listed).</w:t>
            </w:r>
          </w:p>
          <w:p w:rsidR="009C31CC" w:rsidRDefault="009C31CC">
            <w:pPr>
              <w:widowControl w:val="0"/>
              <w:spacing w:line="276" w:lineRule="auto"/>
              <w:rPr>
                <w:rFonts w:ascii="Arial" w:eastAsia="Arial" w:hAnsi="Arial" w:cs="Arial"/>
                <w:sz w:val="18"/>
                <w:szCs w:val="18"/>
              </w:rPr>
            </w:pP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250 Service Credits for achieving 0-3.9 and</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150 Service credits for achieving 4-6.9 per survey on failing to achieve the Service Level Performance Measure on individual Buyer level.</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Buyer reserves the right to implement an improvement plan Call-Off Schedule 3 (Continuous Improvement) - based on the results.</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All Lots</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lastRenderedPageBreak/>
              <w:t>SL13</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Lowest Fare Option</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The lowest logical fare as per travel policy must always be offered in offline bookings whether accepted or not.</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Zero complaints on non-compliance with the offline quotation policy to be followed by the Supplier and agreed during implementation.</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5</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Complaints report (frequency to be determined at implementation)</w:t>
            </w:r>
          </w:p>
          <w:p w:rsidR="009C31CC" w:rsidRDefault="009C31CC">
            <w:pPr>
              <w:widowControl w:val="0"/>
              <w:spacing w:line="276" w:lineRule="auto"/>
              <w:rPr>
                <w:rFonts w:ascii="Arial" w:eastAsia="Arial" w:hAnsi="Arial" w:cs="Arial"/>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The Buyer reserves the right to audit and spot check the offline booking solutions.</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20</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Service Credits per verified complaint</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All Lots</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SL14</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Reconciliation</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Completion of reconciliation requireme</w:t>
            </w:r>
            <w:r>
              <w:rPr>
                <w:rFonts w:ascii="Arial" w:eastAsia="Arial" w:hAnsi="Arial" w:cs="Arial"/>
                <w:color w:val="434343"/>
                <w:sz w:val="18"/>
                <w:szCs w:val="18"/>
              </w:rPr>
              <w:t>nt as detailed at Paragraph 6.239 of Framework Schedule 1 Specification,</w:t>
            </w:r>
            <w:r>
              <w:rPr>
                <w:rFonts w:ascii="Arial" w:eastAsia="Arial" w:hAnsi="Arial" w:cs="Arial"/>
                <w:b/>
                <w:sz w:val="18"/>
                <w:szCs w:val="18"/>
              </w:rPr>
              <w:t xml:space="preserve"> </w:t>
            </w:r>
            <w:r>
              <w:rPr>
                <w:rFonts w:ascii="Arial" w:eastAsia="Arial" w:hAnsi="Arial" w:cs="Arial"/>
                <w:sz w:val="18"/>
                <w:szCs w:val="18"/>
              </w:rPr>
              <w:t>each Month (MoD specific)</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98% of unmatched transactions sent by the Buyer to be matched by the 20th of every Month</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85%</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As per SL1</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30 Service Credits for every 1% below the Service Level Performance Measure</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Lot 1</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SL15</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Management Information and Data Reporting</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Accurate and complete Management</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Information shall be delivered to the</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Buyer in the agreed timescales.</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99% availability of data to the Customer, regardless</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of mode of delivery.</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85%</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As per SL1</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20 Service credits for non-receipt of data on time.</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10 credits for inaccuracy and/or incompleteness of data if data hasn’t been corrected within 5 days of Buyer notifying Supplier of inaccuracy and/or incompleteness.</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If data is not corrected after these 5 working days, another 5 credits will be applied for every 3 days.</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All Lots</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lastRenderedPageBreak/>
              <w:t>SL16</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24/7/365 (366 on a leap year) contact support</w:t>
            </w:r>
          </w:p>
          <w:p w:rsidR="009C31CC" w:rsidRDefault="00E97488">
            <w:pPr>
              <w:widowControl w:val="0"/>
              <w:spacing w:line="276" w:lineRule="auto"/>
              <w:rPr>
                <w:rFonts w:ascii="Arial" w:eastAsia="Arial" w:hAnsi="Arial" w:cs="Arial"/>
                <w:b/>
                <w:sz w:val="18"/>
                <w:szCs w:val="18"/>
              </w:rPr>
            </w:pPr>
            <w:r>
              <w:rPr>
                <w:rFonts w:ascii="Arial" w:eastAsia="Arial" w:hAnsi="Arial" w:cs="Arial"/>
                <w:sz w:val="18"/>
                <w:szCs w:val="18"/>
              </w:rPr>
              <w:t>(refer to 6.306.1</w:t>
            </w:r>
            <w:r>
              <w:rPr>
                <w:rFonts w:ascii="Arial" w:eastAsia="Arial" w:hAnsi="Arial" w:cs="Arial"/>
                <w:b/>
                <w:color w:val="FF0000"/>
                <w:sz w:val="18"/>
                <w:szCs w:val="18"/>
              </w:rPr>
              <w:t xml:space="preserve"> </w:t>
            </w:r>
            <w:r>
              <w:rPr>
                <w:rFonts w:ascii="Arial" w:eastAsia="Arial" w:hAnsi="Arial" w:cs="Arial"/>
                <w:color w:val="434343"/>
                <w:sz w:val="18"/>
                <w:szCs w:val="18"/>
              </w:rPr>
              <w:t>of Framework Schedule 1 Specification</w:t>
            </w:r>
            <w:r>
              <w:rPr>
                <w:rFonts w:ascii="Arial" w:eastAsia="Arial" w:hAnsi="Arial" w:cs="Arial"/>
                <w:b/>
                <w:sz w:val="18"/>
                <w:szCs w:val="18"/>
              </w:rPr>
              <w:t>)</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The supplier to provide a 24/7/365 (366 in a leap year) support. Where via electronic communications (excl. Direct telephone calls), the supplier to respond within 1</w:t>
            </w:r>
            <w:r>
              <w:rPr>
                <w:rFonts w:ascii="Arial" w:eastAsia="Arial" w:hAnsi="Arial" w:cs="Arial"/>
                <w:color w:val="FF0000"/>
                <w:sz w:val="18"/>
                <w:szCs w:val="18"/>
              </w:rPr>
              <w:t xml:space="preserve"> </w:t>
            </w:r>
            <w:r>
              <w:rPr>
                <w:rFonts w:ascii="Arial" w:eastAsia="Arial" w:hAnsi="Arial" w:cs="Arial"/>
                <w:sz w:val="18"/>
                <w:szCs w:val="18"/>
              </w:rPr>
              <w:t>hr of receipt]</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95%</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80%</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As per SL1</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20</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Service credits per Buyer for each and every 0.1% below the Service Level Performance Measure.</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Lot 1 &amp; 4</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SL17</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Venue Find Options (refer to 6.306.3 of Framework Schedule 1 Specification)</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Supplier to provide Buyer with a number of venue options every 2 hrs (unless otherwise instructed by the Buyer) until instructed by the Buyer or the Authority to stop.</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95%</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75%</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Reporting refer to Service Level Detail.</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30 Service credits for non-receipt of data on time.</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Lot 1 &amp; 4</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SL18</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Venue Find Options (refer to 6.308 of Framework Schedule 1 Specification)</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Supplier to provide all necessary paperwork and information for the Buyers chosen venue within 48 hours</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95%</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75%</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Reporting refer to Service Level Detail.</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30</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Service credits per Buyer for each and every 0.1% below the Service Level Performance Measure.</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Lot 1 &amp; 4</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SL19</w:t>
            </w:r>
          </w:p>
        </w:tc>
        <w:tc>
          <w:tcPr>
            <w:tcW w:w="12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b/>
                <w:sz w:val="18"/>
                <w:szCs w:val="18"/>
              </w:rPr>
            </w:pPr>
            <w:r>
              <w:rPr>
                <w:rFonts w:ascii="Arial" w:eastAsia="Arial" w:hAnsi="Arial" w:cs="Arial"/>
                <w:sz w:val="18"/>
                <w:szCs w:val="18"/>
              </w:rPr>
              <w:t>Complaints/Feedback</w:t>
            </w:r>
            <w:r>
              <w:rPr>
                <w:rFonts w:ascii="Arial" w:eastAsia="Arial" w:hAnsi="Arial" w:cs="Arial"/>
                <w:color w:val="FF0000"/>
                <w:sz w:val="18"/>
                <w:szCs w:val="18"/>
              </w:rPr>
              <w:t xml:space="preserve"> </w:t>
            </w:r>
            <w:r>
              <w:rPr>
                <w:rFonts w:ascii="Arial" w:eastAsia="Arial" w:hAnsi="Arial" w:cs="Arial"/>
                <w:sz w:val="18"/>
                <w:szCs w:val="18"/>
              </w:rPr>
              <w:t>(refer to 6.398</w:t>
            </w:r>
            <w:r>
              <w:rPr>
                <w:rFonts w:ascii="Arial" w:eastAsia="Arial" w:hAnsi="Arial" w:cs="Arial"/>
                <w:b/>
                <w:color w:val="FF0000"/>
                <w:sz w:val="18"/>
                <w:szCs w:val="18"/>
              </w:rPr>
              <w:t xml:space="preserve">  </w:t>
            </w:r>
            <w:r>
              <w:rPr>
                <w:rFonts w:ascii="Arial" w:eastAsia="Arial" w:hAnsi="Arial" w:cs="Arial"/>
                <w:sz w:val="18"/>
                <w:szCs w:val="18"/>
              </w:rPr>
              <w:t>of Framework Schedule 1 Specification)</w:t>
            </w:r>
          </w:p>
        </w:tc>
        <w:tc>
          <w:tcPr>
            <w:tcW w:w="294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Supplier to provide a point of contact for service users to register Complaints to be available 24 / 7 / 365 (366 in a leap year).</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Along with a system in place for the receipt, management, resolution and/or referral of Complaints or Feedback. Where applicable.</w:t>
            </w:r>
          </w:p>
        </w:tc>
        <w:tc>
          <w:tcPr>
            <w:tcW w:w="25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98%</w:t>
            </w:r>
          </w:p>
        </w:tc>
        <w:tc>
          <w:tcPr>
            <w:tcW w:w="133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sz w:val="18"/>
                <w:szCs w:val="18"/>
              </w:rPr>
              <w:t>80%</w:t>
            </w:r>
          </w:p>
        </w:tc>
        <w:tc>
          <w:tcPr>
            <w:tcW w:w="1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Reporting refer to Service Level Detail.</w:t>
            </w:r>
          </w:p>
        </w:tc>
        <w:tc>
          <w:tcPr>
            <w:tcW w:w="178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20</w:t>
            </w:r>
          </w:p>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Service credits per Buyer for each and every 0.1% below the Service Level Performance Measure.</w:t>
            </w:r>
          </w:p>
        </w:tc>
        <w:tc>
          <w:tcPr>
            <w:tcW w:w="99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Lot 1 &amp; 4</w:t>
            </w:r>
          </w:p>
        </w:tc>
        <w:tc>
          <w:tcPr>
            <w:tcW w:w="7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highlight w:val="yellow"/>
              </w:rPr>
            </w:pPr>
            <w:r>
              <w:rPr>
                <w:rFonts w:ascii="Arial" w:eastAsia="Arial" w:hAnsi="Arial" w:cs="Arial"/>
                <w:sz w:val="18"/>
                <w:szCs w:val="18"/>
                <w:highlight w:val="yellow"/>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lastRenderedPageBreak/>
              <w:t>SL20</w:t>
            </w:r>
          </w:p>
        </w:tc>
        <w:tc>
          <w:tcPr>
            <w:tcW w:w="12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[Translation]</w:t>
            </w:r>
          </w:p>
        </w:tc>
        <w:tc>
          <w:tcPr>
            <w:tcW w:w="294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[Supplier to provide appropriate Translation Services as defined by the Buyer ]</w:t>
            </w:r>
          </w:p>
        </w:tc>
        <w:tc>
          <w:tcPr>
            <w:tcW w:w="255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[98%]</w:t>
            </w:r>
          </w:p>
        </w:tc>
        <w:tc>
          <w:tcPr>
            <w:tcW w:w="1331"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[__]%</w:t>
            </w:r>
          </w:p>
        </w:tc>
        <w:tc>
          <w:tcPr>
            <w:tcW w:w="18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[Supplier/Buyer to agree a mechanism]</w:t>
            </w:r>
          </w:p>
        </w:tc>
        <w:tc>
          <w:tcPr>
            <w:tcW w:w="178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[__]</w:t>
            </w:r>
          </w:p>
        </w:tc>
        <w:tc>
          <w:tcPr>
            <w:tcW w:w="99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Lots 1 &amp; 4</w:t>
            </w:r>
          </w:p>
        </w:tc>
        <w:tc>
          <w:tcPr>
            <w:tcW w:w="716"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SL21</w:t>
            </w:r>
          </w:p>
        </w:tc>
        <w:tc>
          <w:tcPr>
            <w:tcW w:w="12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[Ground Transportation]</w:t>
            </w:r>
          </w:p>
        </w:tc>
        <w:tc>
          <w:tcPr>
            <w:tcW w:w="294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[Agreed Transportation arrangements delivered on time]</w:t>
            </w:r>
          </w:p>
        </w:tc>
        <w:tc>
          <w:tcPr>
            <w:tcW w:w="255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[98%]</w:t>
            </w:r>
          </w:p>
        </w:tc>
        <w:tc>
          <w:tcPr>
            <w:tcW w:w="1331"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[__]%</w:t>
            </w:r>
          </w:p>
        </w:tc>
        <w:tc>
          <w:tcPr>
            <w:tcW w:w="18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[Supplier/Buyer to agree a mechanism]</w:t>
            </w:r>
          </w:p>
        </w:tc>
        <w:tc>
          <w:tcPr>
            <w:tcW w:w="178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[__]</w:t>
            </w:r>
          </w:p>
        </w:tc>
        <w:tc>
          <w:tcPr>
            <w:tcW w:w="99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All Lots</w:t>
            </w:r>
          </w:p>
        </w:tc>
        <w:tc>
          <w:tcPr>
            <w:tcW w:w="716"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SL22</w:t>
            </w:r>
          </w:p>
        </w:tc>
        <w:tc>
          <w:tcPr>
            <w:tcW w:w="12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[Security Services]</w:t>
            </w:r>
          </w:p>
        </w:tc>
        <w:tc>
          <w:tcPr>
            <w:tcW w:w="294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color w:val="0000FF"/>
                <w:sz w:val="18"/>
                <w:szCs w:val="18"/>
              </w:rPr>
            </w:pPr>
            <w:r>
              <w:rPr>
                <w:rFonts w:ascii="Arial" w:eastAsia="Arial" w:hAnsi="Arial" w:cs="Arial"/>
                <w:color w:val="0000FF"/>
                <w:sz w:val="18"/>
                <w:szCs w:val="18"/>
              </w:rPr>
              <w:t>[Personnel provided are licensed and qualified security personnel}</w:t>
            </w:r>
          </w:p>
          <w:p w:rsidR="009C31CC" w:rsidRDefault="009C31CC">
            <w:pPr>
              <w:widowControl w:val="0"/>
              <w:spacing w:line="276" w:lineRule="auto"/>
              <w:rPr>
                <w:rFonts w:ascii="Arial" w:eastAsia="Arial" w:hAnsi="Arial" w:cs="Arial"/>
                <w:color w:val="0000FF"/>
                <w:sz w:val="18"/>
                <w:szCs w:val="18"/>
              </w:rPr>
            </w:pPr>
          </w:p>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[Accommodation security internal/external meets the required standards]</w:t>
            </w:r>
          </w:p>
        </w:tc>
        <w:tc>
          <w:tcPr>
            <w:tcW w:w="255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[100/98%]</w:t>
            </w:r>
          </w:p>
        </w:tc>
        <w:tc>
          <w:tcPr>
            <w:tcW w:w="1331"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[__]%</w:t>
            </w:r>
          </w:p>
        </w:tc>
        <w:tc>
          <w:tcPr>
            <w:tcW w:w="18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[Supplier/Buyer to agree a mechanism]</w:t>
            </w:r>
          </w:p>
        </w:tc>
        <w:tc>
          <w:tcPr>
            <w:tcW w:w="178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[__]</w:t>
            </w:r>
          </w:p>
        </w:tc>
        <w:tc>
          <w:tcPr>
            <w:tcW w:w="99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Lots 1 &amp; 4</w:t>
            </w:r>
          </w:p>
        </w:tc>
        <w:tc>
          <w:tcPr>
            <w:tcW w:w="716"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SL23</w:t>
            </w:r>
          </w:p>
        </w:tc>
        <w:tc>
          <w:tcPr>
            <w:tcW w:w="12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[Welfare Services]</w:t>
            </w:r>
          </w:p>
        </w:tc>
        <w:tc>
          <w:tcPr>
            <w:tcW w:w="294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[The Supplier to provide Service Users the Welfare Services as outlined in the Call Off]</w:t>
            </w:r>
          </w:p>
        </w:tc>
        <w:tc>
          <w:tcPr>
            <w:tcW w:w="255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[98/95%]</w:t>
            </w:r>
          </w:p>
        </w:tc>
        <w:tc>
          <w:tcPr>
            <w:tcW w:w="1331"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[__]%</w:t>
            </w:r>
          </w:p>
        </w:tc>
        <w:tc>
          <w:tcPr>
            <w:tcW w:w="18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[Supplier/Buyer to agree a mechanism]</w:t>
            </w:r>
          </w:p>
        </w:tc>
        <w:tc>
          <w:tcPr>
            <w:tcW w:w="178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[__]</w:t>
            </w:r>
          </w:p>
        </w:tc>
        <w:tc>
          <w:tcPr>
            <w:tcW w:w="99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Lots 1 &amp; 4</w:t>
            </w:r>
          </w:p>
        </w:tc>
        <w:tc>
          <w:tcPr>
            <w:tcW w:w="716"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bookmarkStart w:id="2" w:name="_GoBack"/>
            <w:r>
              <w:rPr>
                <w:rFonts w:ascii="Arial" w:eastAsia="Arial" w:hAnsi="Arial" w:cs="Arial"/>
                <w:sz w:val="18"/>
                <w:szCs w:val="18"/>
              </w:rPr>
              <w:t>SL24</w:t>
            </w:r>
          </w:p>
        </w:tc>
        <w:tc>
          <w:tcPr>
            <w:tcW w:w="12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[Food and/or Beverage]</w:t>
            </w:r>
          </w:p>
        </w:tc>
        <w:tc>
          <w:tcPr>
            <w:tcW w:w="294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[The Supplier shall provide Service Users with ___ meals a day, every ___ hours as outlined by the Buyer]</w:t>
            </w:r>
          </w:p>
        </w:tc>
        <w:tc>
          <w:tcPr>
            <w:tcW w:w="255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[98%]</w:t>
            </w:r>
          </w:p>
        </w:tc>
        <w:tc>
          <w:tcPr>
            <w:tcW w:w="1331"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[__]%</w:t>
            </w:r>
          </w:p>
        </w:tc>
        <w:tc>
          <w:tcPr>
            <w:tcW w:w="18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[Supplier/Buyer to agree a mechanism]</w:t>
            </w:r>
          </w:p>
        </w:tc>
        <w:tc>
          <w:tcPr>
            <w:tcW w:w="178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[__]</w:t>
            </w:r>
          </w:p>
        </w:tc>
        <w:tc>
          <w:tcPr>
            <w:tcW w:w="99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Lots 1 &amp; 4</w:t>
            </w:r>
          </w:p>
        </w:tc>
        <w:tc>
          <w:tcPr>
            <w:tcW w:w="716"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Y/N</w:t>
            </w:r>
          </w:p>
        </w:tc>
      </w:tr>
      <w:bookmarkEnd w:id="2"/>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SL25</w:t>
            </w:r>
          </w:p>
        </w:tc>
        <w:tc>
          <w:tcPr>
            <w:tcW w:w="12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[Social Value]</w:t>
            </w:r>
          </w:p>
        </w:tc>
        <w:tc>
          <w:tcPr>
            <w:tcW w:w="294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 xml:space="preserve">[The Supplier where requested by the Buyer to evidence x training opportunities/-x job opportunities for vulnerable Civilians or Refugees within </w:t>
            </w:r>
            <w:r>
              <w:rPr>
                <w:rFonts w:ascii="Arial" w:eastAsia="Arial" w:hAnsi="Arial" w:cs="Arial"/>
                <w:color w:val="0000FF"/>
                <w:sz w:val="18"/>
                <w:szCs w:val="18"/>
                <w:u w:val="single"/>
              </w:rPr>
              <w:t xml:space="preserve">x </w:t>
            </w:r>
            <w:r>
              <w:rPr>
                <w:rFonts w:ascii="Arial" w:eastAsia="Arial" w:hAnsi="Arial" w:cs="Arial"/>
                <w:color w:val="0000FF"/>
                <w:sz w:val="18"/>
                <w:szCs w:val="18"/>
              </w:rPr>
              <w:t>timeframe}</w:t>
            </w:r>
          </w:p>
        </w:tc>
        <w:tc>
          <w:tcPr>
            <w:tcW w:w="255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[95%]</w:t>
            </w:r>
          </w:p>
        </w:tc>
        <w:tc>
          <w:tcPr>
            <w:tcW w:w="1331"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[__]%</w:t>
            </w:r>
          </w:p>
        </w:tc>
        <w:tc>
          <w:tcPr>
            <w:tcW w:w="18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[Supplier/Buyer to agree a mechanism]</w:t>
            </w:r>
          </w:p>
        </w:tc>
        <w:tc>
          <w:tcPr>
            <w:tcW w:w="178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[__]</w:t>
            </w:r>
          </w:p>
        </w:tc>
        <w:tc>
          <w:tcPr>
            <w:tcW w:w="99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Lots 1 &amp; 4</w:t>
            </w:r>
          </w:p>
        </w:tc>
        <w:tc>
          <w:tcPr>
            <w:tcW w:w="716"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lastRenderedPageBreak/>
              <w:t>SL26</w:t>
            </w:r>
          </w:p>
        </w:tc>
        <w:tc>
          <w:tcPr>
            <w:tcW w:w="12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[Social Value 1]</w:t>
            </w:r>
          </w:p>
        </w:tc>
        <w:tc>
          <w:tcPr>
            <w:tcW w:w="294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w:t>
            </w:r>
          </w:p>
        </w:tc>
        <w:tc>
          <w:tcPr>
            <w:tcW w:w="255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[__]%</w:t>
            </w:r>
          </w:p>
        </w:tc>
        <w:tc>
          <w:tcPr>
            <w:tcW w:w="1331"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[__]%</w:t>
            </w:r>
          </w:p>
        </w:tc>
        <w:tc>
          <w:tcPr>
            <w:tcW w:w="18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[Supplier/Buyer to agree a mechanism]</w:t>
            </w:r>
          </w:p>
        </w:tc>
        <w:tc>
          <w:tcPr>
            <w:tcW w:w="178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[__]</w:t>
            </w:r>
          </w:p>
        </w:tc>
        <w:tc>
          <w:tcPr>
            <w:tcW w:w="99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All Lots</w:t>
            </w:r>
          </w:p>
        </w:tc>
        <w:tc>
          <w:tcPr>
            <w:tcW w:w="716"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Y/N</w:t>
            </w:r>
          </w:p>
        </w:tc>
      </w:tr>
      <w:tr w:rsidR="009C31CC">
        <w:trPr>
          <w:trHeight w:val="1213"/>
          <w:tblHeader/>
          <w:jc w:val="center"/>
        </w:trPr>
        <w:tc>
          <w:tcPr>
            <w:tcW w:w="79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SL27</w:t>
            </w:r>
          </w:p>
        </w:tc>
        <w:tc>
          <w:tcPr>
            <w:tcW w:w="12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[Social Value 2]</w:t>
            </w:r>
          </w:p>
        </w:tc>
        <w:tc>
          <w:tcPr>
            <w:tcW w:w="294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 ]</w:t>
            </w:r>
          </w:p>
        </w:tc>
        <w:tc>
          <w:tcPr>
            <w:tcW w:w="255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[__]%</w:t>
            </w:r>
          </w:p>
        </w:tc>
        <w:tc>
          <w:tcPr>
            <w:tcW w:w="1331"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[__]%</w:t>
            </w:r>
          </w:p>
        </w:tc>
        <w:tc>
          <w:tcPr>
            <w:tcW w:w="184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[Supplier/Buyer to agree a mechanism]</w:t>
            </w:r>
          </w:p>
        </w:tc>
        <w:tc>
          <w:tcPr>
            <w:tcW w:w="1788"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color w:val="0000FF"/>
                <w:sz w:val="18"/>
                <w:szCs w:val="18"/>
              </w:rPr>
              <w:t>[__]</w:t>
            </w:r>
          </w:p>
        </w:tc>
        <w:tc>
          <w:tcPr>
            <w:tcW w:w="993"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rPr>
                <w:rFonts w:ascii="Arial" w:eastAsia="Arial" w:hAnsi="Arial" w:cs="Arial"/>
                <w:sz w:val="18"/>
                <w:szCs w:val="18"/>
              </w:rPr>
            </w:pPr>
            <w:r>
              <w:rPr>
                <w:rFonts w:ascii="Arial" w:eastAsia="Arial" w:hAnsi="Arial" w:cs="Arial"/>
                <w:sz w:val="18"/>
                <w:szCs w:val="18"/>
              </w:rPr>
              <w:t>All Lots</w:t>
            </w:r>
          </w:p>
        </w:tc>
        <w:tc>
          <w:tcPr>
            <w:tcW w:w="716" w:type="dxa"/>
            <w:tcBorders>
              <w:top w:val="single" w:sz="8" w:space="0" w:color="000000"/>
              <w:left w:val="single" w:sz="8" w:space="0" w:color="000000"/>
              <w:bottom w:val="single" w:sz="8" w:space="0" w:color="000000"/>
              <w:right w:val="single" w:sz="8" w:space="0" w:color="000000"/>
            </w:tcBorders>
            <w:shd w:val="clear" w:color="auto" w:fill="FFFF00"/>
            <w:tcMar>
              <w:top w:w="40" w:type="dxa"/>
              <w:left w:w="40" w:type="dxa"/>
              <w:bottom w:w="40" w:type="dxa"/>
              <w:right w:w="40" w:type="dxa"/>
            </w:tcMar>
          </w:tcPr>
          <w:p w:rsidR="009C31CC" w:rsidRDefault="00E97488">
            <w:pPr>
              <w:widowControl w:val="0"/>
              <w:spacing w:line="276" w:lineRule="auto"/>
              <w:jc w:val="center"/>
              <w:rPr>
                <w:rFonts w:ascii="Arial" w:eastAsia="Arial" w:hAnsi="Arial" w:cs="Arial"/>
                <w:sz w:val="18"/>
                <w:szCs w:val="18"/>
              </w:rPr>
            </w:pPr>
            <w:r>
              <w:rPr>
                <w:rFonts w:ascii="Arial" w:eastAsia="Arial" w:hAnsi="Arial" w:cs="Arial"/>
                <w:color w:val="0000FF"/>
                <w:sz w:val="18"/>
                <w:szCs w:val="18"/>
              </w:rPr>
              <w:t>Y/N</w:t>
            </w:r>
          </w:p>
        </w:tc>
      </w:tr>
    </w:tbl>
    <w:p w:rsidR="009C31CC" w:rsidRDefault="009C31CC">
      <w:pPr>
        <w:ind w:left="709"/>
        <w:rPr>
          <w:rFonts w:ascii="Arial" w:eastAsia="Arial" w:hAnsi="Arial" w:cs="Arial"/>
          <w:sz w:val="24"/>
          <w:szCs w:val="24"/>
          <w:highlight w:val="green"/>
        </w:rPr>
      </w:pPr>
    </w:p>
    <w:p w:rsidR="009C31CC" w:rsidRDefault="00E97488">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rsidR="009C31CC" w:rsidRDefault="00E97488">
      <w:pPr>
        <w:ind w:left="709"/>
        <w:rPr>
          <w:rFonts w:ascii="Arial" w:eastAsia="Arial" w:hAnsi="Arial" w:cs="Arial"/>
          <w:sz w:val="24"/>
          <w:szCs w:val="24"/>
          <w:highlight w:val="yellow"/>
        </w:rPr>
      </w:pPr>
      <w:r>
        <w:rPr>
          <w:rFonts w:ascii="Arial" w:eastAsia="Arial" w:hAnsi="Arial" w:cs="Arial"/>
          <w:sz w:val="24"/>
          <w:szCs w:val="24"/>
          <w:highlight w:val="yellow"/>
        </w:rPr>
        <w:t>[Example: The Service Credits shall be calculated on the basis of the following formula:</w:t>
      </w:r>
    </w:p>
    <w:p w:rsidR="009C31CC" w:rsidRDefault="00E97488">
      <w:pPr>
        <w:spacing w:before="240" w:after="240"/>
        <w:ind w:left="-140"/>
        <w:jc w:val="both"/>
        <w:rPr>
          <w:rFonts w:ascii="Arial" w:eastAsia="Arial" w:hAnsi="Arial" w:cs="Arial"/>
          <w:color w:val="FF0000"/>
          <w:sz w:val="24"/>
          <w:szCs w:val="24"/>
          <w:highlight w:val="yellow"/>
        </w:rPr>
      </w:pPr>
      <w:r>
        <w:rPr>
          <w:rFonts w:ascii="Arial" w:eastAsia="Arial" w:hAnsi="Arial" w:cs="Arial"/>
          <w:color w:val="FF0000"/>
          <w:sz w:val="24"/>
          <w:szCs w:val="24"/>
          <w:highlight w:val="yellow"/>
        </w:rPr>
        <w:t>Service Credit Measurement</w:t>
      </w:r>
    </w:p>
    <w:p w:rsidR="009C31CC" w:rsidRDefault="00E97488">
      <w:pPr>
        <w:spacing w:after="0"/>
        <w:ind w:left="700" w:hanging="420"/>
        <w:jc w:val="both"/>
        <w:rPr>
          <w:rFonts w:ascii="Arial" w:eastAsia="Arial" w:hAnsi="Arial" w:cs="Arial"/>
          <w:color w:val="FF0000"/>
          <w:sz w:val="24"/>
          <w:szCs w:val="24"/>
          <w:highlight w:val="yellow"/>
        </w:rPr>
      </w:pPr>
      <w:r>
        <w:rPr>
          <w:rFonts w:ascii="Arial" w:eastAsia="Arial" w:hAnsi="Arial" w:cs="Arial"/>
          <w:color w:val="FF0000"/>
          <w:sz w:val="24"/>
          <w:szCs w:val="24"/>
          <w:highlight w:val="yellow"/>
        </w:rPr>
        <w:t>●</w:t>
      </w:r>
      <w:r>
        <w:rPr>
          <w:rFonts w:ascii="Times New Roman" w:eastAsia="Times New Roman" w:hAnsi="Times New Roman"/>
          <w:color w:val="FF0000"/>
          <w:sz w:val="14"/>
          <w:szCs w:val="14"/>
          <w:highlight w:val="yellow"/>
        </w:rPr>
        <w:t xml:space="preserve">       </w:t>
      </w:r>
      <w:r>
        <w:rPr>
          <w:rFonts w:ascii="Arial" w:eastAsia="Arial" w:hAnsi="Arial" w:cs="Arial"/>
          <w:color w:val="FF0000"/>
          <w:sz w:val="24"/>
          <w:szCs w:val="24"/>
          <w:highlight w:val="yellow"/>
        </w:rPr>
        <w:t>98% Service Level Performance Measurement required for response times Service Level</w:t>
      </w:r>
    </w:p>
    <w:p w:rsidR="009C31CC" w:rsidRDefault="00E97488">
      <w:pPr>
        <w:spacing w:after="0"/>
        <w:ind w:left="700" w:hanging="420"/>
        <w:jc w:val="both"/>
        <w:rPr>
          <w:rFonts w:ascii="Arial" w:eastAsia="Arial" w:hAnsi="Arial" w:cs="Arial"/>
          <w:color w:val="FF0000"/>
          <w:sz w:val="24"/>
          <w:szCs w:val="24"/>
          <w:highlight w:val="yellow"/>
        </w:rPr>
      </w:pPr>
      <w:r>
        <w:rPr>
          <w:rFonts w:ascii="Arial" w:eastAsia="Arial" w:hAnsi="Arial" w:cs="Arial"/>
          <w:color w:val="FF0000"/>
          <w:sz w:val="24"/>
          <w:szCs w:val="24"/>
          <w:highlight w:val="yellow"/>
        </w:rPr>
        <w:t>●</w:t>
      </w:r>
      <w:r>
        <w:rPr>
          <w:rFonts w:ascii="Times New Roman" w:eastAsia="Times New Roman" w:hAnsi="Times New Roman"/>
          <w:color w:val="FF0000"/>
          <w:sz w:val="14"/>
          <w:szCs w:val="14"/>
          <w:highlight w:val="yellow"/>
        </w:rPr>
        <w:t xml:space="preserve">       </w:t>
      </w:r>
      <w:r>
        <w:rPr>
          <w:rFonts w:ascii="Arial" w:eastAsia="Arial" w:hAnsi="Arial" w:cs="Arial"/>
          <w:color w:val="FF0000"/>
          <w:sz w:val="24"/>
          <w:szCs w:val="24"/>
          <w:highlight w:val="yellow"/>
        </w:rPr>
        <w:t>97.5% actual performance achieved against the Service Level Performance Measurement in a Service Period</w:t>
      </w:r>
    </w:p>
    <w:p w:rsidR="009C31CC" w:rsidRDefault="00E97488">
      <w:pPr>
        <w:spacing w:after="0"/>
        <w:ind w:left="700" w:hanging="420"/>
        <w:jc w:val="both"/>
        <w:rPr>
          <w:rFonts w:ascii="Arial" w:eastAsia="Arial" w:hAnsi="Arial" w:cs="Arial"/>
          <w:color w:val="FF0000"/>
          <w:sz w:val="24"/>
          <w:szCs w:val="24"/>
          <w:highlight w:val="yellow"/>
        </w:rPr>
      </w:pPr>
      <w:r>
        <w:rPr>
          <w:rFonts w:ascii="Arial" w:eastAsia="Arial" w:hAnsi="Arial" w:cs="Arial"/>
          <w:color w:val="FF0000"/>
          <w:sz w:val="24"/>
          <w:szCs w:val="24"/>
          <w:highlight w:val="yellow"/>
        </w:rPr>
        <w:t>●</w:t>
      </w:r>
      <w:r>
        <w:rPr>
          <w:rFonts w:ascii="Times New Roman" w:eastAsia="Times New Roman" w:hAnsi="Times New Roman"/>
          <w:color w:val="FF0000"/>
          <w:sz w:val="14"/>
          <w:szCs w:val="14"/>
          <w:highlight w:val="yellow"/>
        </w:rPr>
        <w:t xml:space="preserve">       </w:t>
      </w:r>
      <w:r>
        <w:rPr>
          <w:rFonts w:ascii="Arial" w:eastAsia="Arial" w:hAnsi="Arial" w:cs="Arial"/>
          <w:color w:val="FF0000"/>
          <w:sz w:val="24"/>
          <w:szCs w:val="24"/>
          <w:highlight w:val="yellow"/>
        </w:rPr>
        <w:t>0.5% below Service Level Performance Measurement requirement</w:t>
      </w:r>
    </w:p>
    <w:p w:rsidR="009C31CC" w:rsidRDefault="00E97488">
      <w:pPr>
        <w:spacing w:before="240" w:after="240"/>
        <w:jc w:val="both"/>
        <w:rPr>
          <w:rFonts w:ascii="Arial" w:eastAsia="Arial" w:hAnsi="Arial" w:cs="Arial"/>
          <w:color w:val="FF0000"/>
          <w:sz w:val="24"/>
          <w:szCs w:val="24"/>
          <w:highlight w:val="yellow"/>
        </w:rPr>
      </w:pPr>
      <w:r>
        <w:rPr>
          <w:rFonts w:ascii="Arial" w:eastAsia="Arial" w:hAnsi="Arial" w:cs="Arial"/>
          <w:color w:val="FF0000"/>
          <w:sz w:val="24"/>
          <w:szCs w:val="24"/>
          <w:highlight w:val="yellow"/>
        </w:rPr>
        <w:t>Service Credit Calculation:</w:t>
      </w:r>
    </w:p>
    <w:p w:rsidR="009C31CC" w:rsidRDefault="00E97488">
      <w:pPr>
        <w:numPr>
          <w:ilvl w:val="0"/>
          <w:numId w:val="1"/>
        </w:numPr>
        <w:spacing w:before="240" w:after="0"/>
        <w:rPr>
          <w:rFonts w:ascii="Arial" w:eastAsia="Arial" w:hAnsi="Arial" w:cs="Arial"/>
          <w:color w:val="FF0000"/>
          <w:sz w:val="24"/>
          <w:szCs w:val="24"/>
          <w:highlight w:val="yellow"/>
        </w:rPr>
      </w:pPr>
      <w:r>
        <w:rPr>
          <w:rFonts w:ascii="Arial" w:eastAsia="Arial" w:hAnsi="Arial" w:cs="Arial"/>
          <w:color w:val="FF0000"/>
          <w:sz w:val="24"/>
          <w:szCs w:val="24"/>
          <w:highlight w:val="yellow"/>
        </w:rPr>
        <w:t>20 Service Credits are applied for every 0.2% below the required Service Level</w:t>
      </w:r>
    </w:p>
    <w:p w:rsidR="009C31CC" w:rsidRDefault="00E97488">
      <w:pPr>
        <w:numPr>
          <w:ilvl w:val="0"/>
          <w:numId w:val="1"/>
        </w:numPr>
        <w:spacing w:after="0"/>
        <w:rPr>
          <w:rFonts w:ascii="Arial" w:eastAsia="Arial" w:hAnsi="Arial" w:cs="Arial"/>
          <w:color w:val="FF0000"/>
          <w:sz w:val="24"/>
          <w:szCs w:val="24"/>
          <w:highlight w:val="yellow"/>
        </w:rPr>
      </w:pPr>
      <w:r>
        <w:rPr>
          <w:rFonts w:ascii="Arial" w:eastAsia="Arial" w:hAnsi="Arial" w:cs="Arial"/>
          <w:color w:val="FF0000"/>
          <w:sz w:val="24"/>
          <w:szCs w:val="24"/>
          <w:highlight w:val="yellow"/>
        </w:rPr>
        <w:t>The Service Level Performance Measurement increment is 0.2%</w:t>
      </w:r>
    </w:p>
    <w:p w:rsidR="009C31CC" w:rsidRDefault="00E97488">
      <w:pPr>
        <w:numPr>
          <w:ilvl w:val="0"/>
          <w:numId w:val="1"/>
        </w:numPr>
        <w:spacing w:after="240"/>
        <w:rPr>
          <w:rFonts w:ascii="Arial" w:eastAsia="Arial" w:hAnsi="Arial" w:cs="Arial"/>
          <w:color w:val="FF0000"/>
          <w:sz w:val="24"/>
          <w:szCs w:val="24"/>
          <w:highlight w:val="yellow"/>
        </w:rPr>
      </w:pPr>
      <w:r>
        <w:rPr>
          <w:rFonts w:ascii="Arial" w:eastAsia="Arial" w:hAnsi="Arial" w:cs="Arial"/>
          <w:color w:val="FF0000"/>
          <w:sz w:val="24"/>
          <w:szCs w:val="24"/>
          <w:highlight w:val="yellow"/>
        </w:rPr>
        <w:t>The 0.1% remainder is not included in this calculation</w:t>
      </w:r>
    </w:p>
    <w:p w:rsidR="009C31CC" w:rsidRPr="00131630" w:rsidRDefault="00E97488" w:rsidP="00131630">
      <w:pPr>
        <w:spacing w:before="240" w:after="240"/>
        <w:jc w:val="both"/>
        <w:rPr>
          <w:rFonts w:ascii="Arial" w:eastAsia="Arial" w:hAnsi="Arial" w:cs="Arial"/>
          <w:color w:val="FF0000"/>
          <w:sz w:val="24"/>
          <w:szCs w:val="24"/>
          <w:highlight w:val="yellow"/>
        </w:rPr>
      </w:pPr>
      <w:r>
        <w:rPr>
          <w:rFonts w:ascii="Arial" w:eastAsia="Arial" w:hAnsi="Arial" w:cs="Arial"/>
          <w:color w:val="FF0000"/>
          <w:sz w:val="24"/>
          <w:szCs w:val="24"/>
          <w:highlight w:val="yellow"/>
        </w:rPr>
        <w:t>Therefore: The applicable Service Credit represents 0.2% x 2 = 0.4%, which equals 40 Service Credits or £40.00</w:t>
      </w:r>
    </w:p>
    <w:p w:rsidR="009C31CC" w:rsidRDefault="009C31CC" w:rsidP="00131630">
      <w:pPr>
        <w:rPr>
          <w:rFonts w:ascii="Arial" w:eastAsia="Arial" w:hAnsi="Arial" w:cs="Arial"/>
          <w:sz w:val="24"/>
          <w:szCs w:val="24"/>
          <w:highlight w:val="yellow"/>
        </w:rPr>
        <w:sectPr w:rsidR="009C31CC">
          <w:type w:val="continuous"/>
          <w:pgSz w:w="16838" w:h="11906" w:orient="landscape"/>
          <w:pgMar w:top="1440" w:right="566" w:bottom="1440" w:left="566" w:header="709" w:footer="709" w:gutter="0"/>
          <w:cols w:space="720"/>
          <w:titlePg/>
        </w:sectPr>
      </w:pPr>
    </w:p>
    <w:p w:rsidR="009C31CC" w:rsidRDefault="00E97488">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 xml:space="preserve">Part B: Performance Monitoring </w:t>
      </w:r>
    </w:p>
    <w:p w:rsidR="009C31CC" w:rsidRDefault="00E97488">
      <w:pPr>
        <w:numPr>
          <w:ilvl w:val="0"/>
          <w:numId w:val="2"/>
        </w:numPr>
        <w:pBdr>
          <w:top w:val="nil"/>
          <w:left w:val="nil"/>
          <w:bottom w:val="nil"/>
          <w:right w:val="nil"/>
          <w:between w:val="nil"/>
        </w:pBdr>
        <w:tabs>
          <w:tab w:val="left" w:pos="142"/>
        </w:tabs>
        <w:spacing w:before="240" w:after="120" w:line="240" w:lineRule="auto"/>
      </w:pPr>
      <w:r>
        <w:rPr>
          <w:rFonts w:ascii="Arial Bold" w:eastAsia="Arial Bold" w:hAnsi="Arial Bold" w:cs="Arial Bold"/>
          <w:b/>
          <w:color w:val="000000"/>
          <w:sz w:val="24"/>
          <w:szCs w:val="24"/>
        </w:rPr>
        <w:t>Performance Monitoring and Performance Review</w:t>
      </w:r>
    </w:p>
    <w:p w:rsidR="009C31CC" w:rsidRDefault="00E97488">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9C31CC" w:rsidRDefault="00E97488">
      <w:pPr>
        <w:keepNext/>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rsidR="009C31CC" w:rsidRDefault="00E97488">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for each Service Level, the actual performance achieved over the Service Level for the relevant Service Period;</w:t>
      </w:r>
    </w:p>
    <w:p w:rsidR="009C31CC" w:rsidRDefault="00E97488">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a summary of all failures to achieve Service Levels that occurred during that Service Period;</w:t>
      </w:r>
    </w:p>
    <w:p w:rsidR="009C31CC" w:rsidRDefault="00E97488">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details of any Critical Service Level Failures;</w:t>
      </w:r>
    </w:p>
    <w:p w:rsidR="009C31CC" w:rsidRDefault="00E97488">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for any repeat failures, actions taken to resolve the underlying cause and prevent recurrence;</w:t>
      </w:r>
    </w:p>
    <w:p w:rsidR="009C31CC" w:rsidRDefault="00E97488">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9C31CC" w:rsidRDefault="00E97488">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such other details as the Buyer may reasonably require from time to time.</w:t>
      </w:r>
    </w:p>
    <w:p w:rsidR="009C31CC" w:rsidRDefault="00E97488">
      <w:pPr>
        <w:keepNext/>
        <w:numPr>
          <w:ilvl w:val="1"/>
          <w:numId w:val="2"/>
        </w:numPr>
        <w:pBdr>
          <w:top w:val="nil"/>
          <w:left w:val="nil"/>
          <w:bottom w:val="nil"/>
          <w:right w:val="nil"/>
          <w:between w:val="nil"/>
        </w:pBdr>
        <w:spacing w:before="120" w:after="120" w:line="240" w:lineRule="auto"/>
      </w:pPr>
      <w:bookmarkStart w:id="3" w:name="_heading=h.gjdgxs" w:colFirst="0" w:colLast="0"/>
      <w:bookmarkEnd w:id="3"/>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Monthly basis </w:t>
      </w:r>
      <w:r>
        <w:rPr>
          <w:rFonts w:ascii="Arial" w:eastAsia="Arial" w:hAnsi="Arial" w:cs="Arial"/>
          <w:sz w:val="24"/>
          <w:szCs w:val="24"/>
        </w:rPr>
        <w:t>or such other period agreed between the Parties</w:t>
      </w:r>
      <w:r>
        <w:rPr>
          <w:rFonts w:ascii="Arial" w:eastAsia="Arial" w:hAnsi="Arial" w:cs="Arial"/>
          <w:color w:val="000000"/>
          <w:sz w:val="24"/>
          <w:szCs w:val="24"/>
        </w:rPr>
        <w:t xml:space="preserve"> . The Performance Review Meetings will be the forum for the review by the Supplier and the Buyer of the Performance Monitoring Reports.  The Performance Review Meetings shall:</w:t>
      </w:r>
    </w:p>
    <w:p w:rsidR="009C31CC" w:rsidRDefault="00E97488">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9C31CC" w:rsidRDefault="00E97488">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be attended by the Supplier's Representative and the Buyer’s Representative; and</w:t>
      </w:r>
    </w:p>
    <w:p w:rsidR="009C31CC" w:rsidRDefault="00E97488">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rsidR="009C31CC" w:rsidRDefault="00E97488">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The minutes of the preceding Performance Review Meeting will be agreed and signed by both the Supplier's Representative and the Buyer’s Representative at each meeting.</w:t>
      </w:r>
    </w:p>
    <w:p w:rsidR="009C31CC" w:rsidRDefault="00E97488">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9C31CC" w:rsidRDefault="009C31CC">
      <w:pPr>
        <w:pBdr>
          <w:top w:val="nil"/>
          <w:left w:val="nil"/>
          <w:bottom w:val="nil"/>
          <w:right w:val="nil"/>
          <w:between w:val="nil"/>
        </w:pBdr>
        <w:spacing w:before="120" w:after="120" w:line="240" w:lineRule="auto"/>
        <w:ind w:left="1440" w:hanging="720"/>
        <w:rPr>
          <w:rFonts w:ascii="Arial" w:eastAsia="Arial" w:hAnsi="Arial" w:cs="Arial"/>
          <w:color w:val="000000"/>
          <w:sz w:val="24"/>
          <w:szCs w:val="24"/>
        </w:rPr>
      </w:pPr>
    </w:p>
    <w:p w:rsidR="009C31CC" w:rsidRDefault="00E97488">
      <w:pPr>
        <w:numPr>
          <w:ilvl w:val="0"/>
          <w:numId w:val="2"/>
        </w:numPr>
        <w:pBdr>
          <w:top w:val="nil"/>
          <w:left w:val="nil"/>
          <w:bottom w:val="nil"/>
          <w:right w:val="nil"/>
          <w:between w:val="nil"/>
        </w:pBdr>
        <w:tabs>
          <w:tab w:val="left" w:pos="142"/>
        </w:tabs>
        <w:spacing w:before="240" w:after="120" w:line="240" w:lineRule="auto"/>
      </w:pPr>
      <w:r>
        <w:rPr>
          <w:rFonts w:ascii="Arial Bold" w:eastAsia="Arial Bold" w:hAnsi="Arial Bold" w:cs="Arial Bold"/>
          <w:b/>
          <w:color w:val="000000"/>
          <w:sz w:val="24"/>
          <w:szCs w:val="24"/>
        </w:rPr>
        <w:t>Satisfaction Surveys</w:t>
      </w:r>
    </w:p>
    <w:p w:rsidR="009C31CC" w:rsidRDefault="00E97488">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9C31CC" w:rsidRDefault="009C31CC">
      <w:pPr>
        <w:pBdr>
          <w:top w:val="nil"/>
          <w:left w:val="nil"/>
          <w:bottom w:val="nil"/>
          <w:right w:val="nil"/>
          <w:between w:val="nil"/>
        </w:pBdr>
        <w:spacing w:before="120" w:after="120" w:line="240" w:lineRule="auto"/>
        <w:ind w:left="1440" w:hanging="720"/>
        <w:jc w:val="both"/>
        <w:rPr>
          <w:rFonts w:ascii="Arial" w:eastAsia="Arial" w:hAnsi="Arial" w:cs="Arial"/>
          <w:color w:val="000000"/>
          <w:sz w:val="24"/>
          <w:szCs w:val="24"/>
        </w:rPr>
      </w:pPr>
      <w:bookmarkStart w:id="4" w:name="_heading=h.30j0zll" w:colFirst="0" w:colLast="0"/>
      <w:bookmarkEnd w:id="4"/>
    </w:p>
    <w:sectPr w:rsidR="009C31CC">
      <w:pgSz w:w="11906" w:h="16838"/>
      <w:pgMar w:top="1440" w:right="1440" w:bottom="1440"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4F13" w:rsidRDefault="003B4F13">
      <w:pPr>
        <w:spacing w:after="0" w:line="240" w:lineRule="auto"/>
      </w:pPr>
      <w:r>
        <w:separator/>
      </w:r>
    </w:p>
  </w:endnote>
  <w:endnote w:type="continuationSeparator" w:id="0">
    <w:p w:rsidR="003B4F13" w:rsidRDefault="003B4F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1CC" w:rsidRDefault="009C31CC">
    <w:pPr>
      <w:tabs>
        <w:tab w:val="center" w:pos="4513"/>
        <w:tab w:val="right" w:pos="9026"/>
      </w:tabs>
      <w:spacing w:after="0" w:line="240" w:lineRule="auto"/>
      <w:jc w:val="both"/>
    </w:pPr>
  </w:p>
  <w:p w:rsidR="009C31CC" w:rsidRDefault="00E97488">
    <w:pPr>
      <w:pBdr>
        <w:top w:val="nil"/>
        <w:left w:val="nil"/>
        <w:bottom w:val="nil"/>
        <w:right w:val="nil"/>
        <w:between w:val="nil"/>
      </w:pBdr>
      <w:tabs>
        <w:tab w:val="center" w:pos="4513"/>
        <w:tab w:val="right" w:pos="9026"/>
      </w:tabs>
      <w:spacing w:after="0" w:line="240" w:lineRule="auto"/>
      <w:rPr>
        <w:rFonts w:ascii="Arial" w:eastAsia="Arial" w:hAnsi="Arial" w:cs="Arial"/>
        <w:sz w:val="24"/>
        <w:szCs w:val="24"/>
      </w:rPr>
    </w:pPr>
    <w:r>
      <w:rPr>
        <w:rFonts w:ascii="Arial" w:eastAsia="Arial" w:hAnsi="Arial" w:cs="Arial"/>
        <w:color w:val="000000"/>
        <w:sz w:val="20"/>
        <w:szCs w:val="20"/>
      </w:rPr>
      <w:t>Framework Ref: RM6342</w:t>
    </w:r>
  </w:p>
  <w:p w:rsidR="009C31CC" w:rsidRDefault="009C31CC">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p>
  <w:p w:rsidR="009C31CC" w:rsidRDefault="00E9748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BF6713">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3163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C31CC" w:rsidRDefault="00E9748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1CC" w:rsidRDefault="009C31CC">
    <w:pPr>
      <w:tabs>
        <w:tab w:val="center" w:pos="4513"/>
        <w:tab w:val="right" w:pos="9026"/>
      </w:tabs>
      <w:spacing w:after="0" w:line="240" w:lineRule="auto"/>
      <w:jc w:val="both"/>
    </w:pPr>
  </w:p>
  <w:p w:rsidR="009C31CC" w:rsidRDefault="00E9748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9C31CC" w:rsidRDefault="00E9748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31630">
      <w:rPr>
        <w:rFonts w:ascii="Arial" w:eastAsia="Arial" w:hAnsi="Arial" w:cs="Arial"/>
        <w:noProof/>
        <w:color w:val="000000"/>
        <w:sz w:val="20"/>
        <w:szCs w:val="20"/>
      </w:rPr>
      <w:t>6</w:t>
    </w:r>
    <w:r>
      <w:rPr>
        <w:rFonts w:ascii="Arial" w:eastAsia="Arial" w:hAnsi="Arial" w:cs="Arial"/>
        <w:color w:val="000000"/>
        <w:sz w:val="20"/>
        <w:szCs w:val="20"/>
      </w:rPr>
      <w:fldChar w:fldCharType="end"/>
    </w:r>
  </w:p>
  <w:p w:rsidR="009C31CC" w:rsidRDefault="00E97488">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4F13" w:rsidRDefault="003B4F13">
      <w:pPr>
        <w:spacing w:after="0" w:line="240" w:lineRule="auto"/>
      </w:pPr>
      <w:r>
        <w:separator/>
      </w:r>
    </w:p>
  </w:footnote>
  <w:footnote w:type="continuationSeparator" w:id="0">
    <w:p w:rsidR="003B4F13" w:rsidRDefault="003B4F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1CC" w:rsidRDefault="00E97488">
    <w:pPr>
      <w:pBdr>
        <w:top w:val="nil"/>
        <w:left w:val="nil"/>
        <w:bottom w:val="nil"/>
        <w:right w:val="nil"/>
        <w:between w:val="nil"/>
      </w:pBdr>
      <w:tabs>
        <w:tab w:val="center" w:pos="4513"/>
        <w:tab w:val="right" w:pos="9026"/>
      </w:tabs>
      <w:spacing w:after="0" w:line="240" w:lineRule="auto"/>
      <w:ind w:left="-566" w:hanging="1275"/>
      <w:jc w:val="center"/>
      <w:rPr>
        <w:rFonts w:ascii="Arial" w:eastAsia="Arial" w:hAnsi="Arial" w:cs="Arial"/>
        <w:sz w:val="24"/>
        <w:szCs w:val="24"/>
      </w:rPr>
    </w:pPr>
    <w:r>
      <w:rPr>
        <w:rFonts w:ascii="Arial" w:eastAsia="Arial" w:hAnsi="Arial" w:cs="Arial"/>
        <w:b/>
        <w:color w:val="000000"/>
        <w:sz w:val="20"/>
        <w:szCs w:val="20"/>
      </w:rPr>
      <w:t>Call-Off Schedule 14 (Service Levels)</w:t>
    </w:r>
  </w:p>
  <w:p w:rsidR="009C31CC" w:rsidRDefault="00E97488">
    <w:pPr>
      <w:pBdr>
        <w:top w:val="nil"/>
        <w:left w:val="nil"/>
        <w:bottom w:val="nil"/>
        <w:right w:val="nil"/>
        <w:between w:val="nil"/>
      </w:pBdr>
      <w:tabs>
        <w:tab w:val="center" w:pos="4513"/>
        <w:tab w:val="right" w:pos="9026"/>
      </w:tabs>
      <w:spacing w:after="0" w:line="240" w:lineRule="auto"/>
      <w:ind w:left="-1842"/>
      <w:rPr>
        <w:rFonts w:ascii="Arial" w:eastAsia="Arial" w:hAnsi="Arial" w:cs="Arial"/>
        <w:color w:val="000000"/>
        <w:sz w:val="20"/>
        <w:szCs w:val="20"/>
      </w:rPr>
    </w:pPr>
    <w:r>
      <w:rPr>
        <w:rFonts w:ascii="Arial" w:eastAsia="Arial" w:hAnsi="Arial" w:cs="Arial"/>
        <w:color w:val="000000"/>
        <w:sz w:val="20"/>
        <w:szCs w:val="20"/>
      </w:rPr>
      <w:t>Call-Off Ref:</w:t>
    </w:r>
  </w:p>
  <w:p w:rsidR="009C31CC" w:rsidRDefault="00E97488">
    <w:pPr>
      <w:pBdr>
        <w:top w:val="nil"/>
        <w:left w:val="nil"/>
        <w:bottom w:val="nil"/>
        <w:right w:val="nil"/>
        <w:between w:val="nil"/>
      </w:pBdr>
      <w:tabs>
        <w:tab w:val="center" w:pos="4513"/>
        <w:tab w:val="right" w:pos="9026"/>
      </w:tabs>
      <w:spacing w:after="0" w:line="240" w:lineRule="auto"/>
      <w:ind w:left="-1842"/>
      <w:rPr>
        <w:rFonts w:ascii="Arial" w:eastAsia="Arial" w:hAnsi="Arial" w:cs="Arial"/>
        <w:color w:val="000000"/>
        <w:sz w:val="20"/>
        <w:szCs w:val="20"/>
      </w:rPr>
    </w:pPr>
    <w:r>
      <w:rPr>
        <w:rFonts w:ascii="Arial" w:eastAsia="Arial" w:hAnsi="Arial" w:cs="Arial"/>
        <w:color w:val="000000"/>
        <w:sz w:val="20"/>
        <w:szCs w:val="20"/>
      </w:rPr>
      <w:t>Crown Copyright 2023</w:t>
    </w:r>
  </w:p>
  <w:p w:rsidR="009C31CC" w:rsidRDefault="009C31C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1CC" w:rsidRDefault="00E97488">
    <w:pPr>
      <w:tabs>
        <w:tab w:val="center" w:pos="4513"/>
        <w:tab w:val="right" w:pos="9026"/>
      </w:tabs>
      <w:spacing w:after="0" w:line="240" w:lineRule="auto"/>
      <w:ind w:left="-425"/>
      <w:rPr>
        <w:rFonts w:ascii="Arial" w:eastAsia="Arial" w:hAnsi="Arial" w:cs="Arial"/>
        <w:sz w:val="24"/>
        <w:szCs w:val="24"/>
      </w:rPr>
    </w:pPr>
    <w:r>
      <w:rPr>
        <w:rFonts w:ascii="Arial" w:eastAsia="Arial" w:hAnsi="Arial" w:cs="Arial"/>
        <w:b/>
        <w:sz w:val="20"/>
        <w:szCs w:val="20"/>
      </w:rPr>
      <w:t>Call-Off Schedule 14 (Service Levels)</w:t>
    </w:r>
  </w:p>
  <w:p w:rsidR="009C31CC" w:rsidRDefault="00E97488">
    <w:pPr>
      <w:tabs>
        <w:tab w:val="center" w:pos="4513"/>
        <w:tab w:val="right" w:pos="9026"/>
      </w:tabs>
      <w:spacing w:after="0" w:line="240" w:lineRule="auto"/>
      <w:ind w:left="-425"/>
      <w:rPr>
        <w:rFonts w:ascii="Arial" w:eastAsia="Arial" w:hAnsi="Arial" w:cs="Arial"/>
        <w:sz w:val="20"/>
        <w:szCs w:val="20"/>
      </w:rPr>
    </w:pPr>
    <w:r>
      <w:rPr>
        <w:rFonts w:ascii="Arial" w:eastAsia="Arial" w:hAnsi="Arial" w:cs="Arial"/>
        <w:sz w:val="20"/>
        <w:szCs w:val="20"/>
      </w:rPr>
      <w:t>Call-Off Ref:</w:t>
    </w:r>
  </w:p>
  <w:p w:rsidR="009C31CC" w:rsidRDefault="00E97488">
    <w:pPr>
      <w:spacing w:after="0" w:line="240" w:lineRule="auto"/>
      <w:ind w:left="-425"/>
    </w:pPr>
    <w:r>
      <w:rPr>
        <w:rFonts w:ascii="Arial" w:eastAsia="Arial" w:hAnsi="Arial" w:cs="Arial"/>
        <w:sz w:val="20"/>
        <w:szCs w:val="20"/>
      </w:rPr>
      <w:t>Crown Copyright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A764D3"/>
    <w:multiLevelType w:val="multilevel"/>
    <w:tmpl w:val="6B200FEC"/>
    <w:lvl w:ilvl="0">
      <w:start w:val="1"/>
      <w:numFmt w:val="decimal"/>
      <w:pStyle w:val="BodyTextIndent"/>
      <w:lvlText w:val="%1."/>
      <w:lvlJc w:val="righ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righ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right"/>
      <w:pPr>
        <w:ind w:left="2160" w:hanging="1309"/>
      </w:pPr>
      <w:rPr>
        <w:rFonts w:ascii="Calibri" w:eastAsia="Calibri" w:hAnsi="Calibri" w:cs="Calibri"/>
        <w:b w:val="0"/>
        <w:i w:val="0"/>
        <w:smallCaps w:val="0"/>
        <w:strike w:val="0"/>
        <w:color w:val="000000"/>
        <w:sz w:val="22"/>
        <w:szCs w:val="22"/>
        <w:u w:val="none"/>
        <w:vertAlign w:val="baseline"/>
      </w:rPr>
    </w:lvl>
    <w:lvl w:ilvl="3">
      <w:start w:val="1"/>
      <w:numFmt w:val="decimal"/>
      <w:lvlText w:val="%1.%2.%3.%4."/>
      <w:lvlJc w:val="righ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decimal"/>
      <w:lvlText w:val="%1.%2.%3.%4.%5."/>
      <w:lvlJc w:val="right"/>
      <w:pPr>
        <w:ind w:left="3600" w:hanging="72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1" w15:restartNumberingAfterBreak="0">
    <w:nsid w:val="56554B6F"/>
    <w:multiLevelType w:val="multilevel"/>
    <w:tmpl w:val="718ED298"/>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F4A7309"/>
    <w:multiLevelType w:val="multilevel"/>
    <w:tmpl w:val="0680DF8C"/>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8B70731"/>
    <w:multiLevelType w:val="multilevel"/>
    <w:tmpl w:val="09D0AD6C"/>
    <w:lvl w:ilvl="0">
      <w:start w:val="1"/>
      <w:numFmt w:val="bullet"/>
      <w:pStyle w:val="GPSL1CLAUSEHEADING"/>
      <w:lvlText w:val="●"/>
      <w:lvlJc w:val="left"/>
      <w:pPr>
        <w:ind w:left="720" w:hanging="360"/>
      </w:pPr>
      <w:rPr>
        <w:u w:val="none"/>
      </w:rPr>
    </w:lvl>
    <w:lvl w:ilvl="1">
      <w:start w:val="1"/>
      <w:numFmt w:val="bullet"/>
      <w:pStyle w:val="GPSL2NumberedBoldHeading"/>
      <w:lvlText w:val="○"/>
      <w:lvlJc w:val="left"/>
      <w:pPr>
        <w:ind w:left="1440" w:hanging="360"/>
      </w:pPr>
      <w:rPr>
        <w:u w:val="none"/>
      </w:rPr>
    </w:lvl>
    <w:lvl w:ilvl="2">
      <w:start w:val="1"/>
      <w:numFmt w:val="bullet"/>
      <w:pStyle w:val="GPSL3numberedclause"/>
      <w:lvlText w:val="■"/>
      <w:lvlJc w:val="left"/>
      <w:pPr>
        <w:ind w:left="2160" w:hanging="360"/>
      </w:pPr>
      <w:rPr>
        <w:u w:val="none"/>
      </w:rPr>
    </w:lvl>
    <w:lvl w:ilvl="3">
      <w:start w:val="1"/>
      <w:numFmt w:val="bullet"/>
      <w:pStyle w:val="GPSL4numberedclause"/>
      <w:lvlText w:val="●"/>
      <w:lvlJc w:val="left"/>
      <w:pPr>
        <w:ind w:left="2880" w:hanging="360"/>
      </w:pPr>
      <w:rPr>
        <w:u w:val="none"/>
      </w:rPr>
    </w:lvl>
    <w:lvl w:ilvl="4">
      <w:start w:val="1"/>
      <w:numFmt w:val="bullet"/>
      <w:pStyle w:val="GPSL5numberedclause"/>
      <w:lvlText w:val="○"/>
      <w:lvlJc w:val="left"/>
      <w:pPr>
        <w:ind w:left="3600" w:hanging="360"/>
      </w:pPr>
      <w:rPr>
        <w:u w:val="none"/>
      </w:rPr>
    </w:lvl>
    <w:lvl w:ilvl="5">
      <w:start w:val="1"/>
      <w:numFmt w:val="bullet"/>
      <w:pStyle w:val="GPSL6numbered"/>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1CC"/>
    <w:rsid w:val="00131630"/>
    <w:rsid w:val="003B4F13"/>
    <w:rsid w:val="009C31CC"/>
    <w:rsid w:val="00BF6713"/>
    <w:rsid w:val="00E974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421A6"/>
  <w15:docId w15:val="{48B9AE22-DAF8-4BEB-8A83-675E192F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38A5"/>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character" w:styleId="Hyperlink">
    <w:name w:val="Hyperlink"/>
    <w:uiPriority w:val="99"/>
    <w:rsid w:val="0079190E"/>
    <w:rPr>
      <w:color w:val="0000FF"/>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the-sourcing-and-consultancy-playbook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Ojt2YP8++pFP9QBQpR/Tvj4EmQ==">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20</Pages>
  <Words>4150</Words>
  <Characters>23661</Characters>
  <Application>Microsoft Office Word</Application>
  <DocSecurity>0</DocSecurity>
  <Lines>197</Lines>
  <Paragraphs>55</Paragraphs>
  <ScaleCrop>false</ScaleCrop>
  <Company/>
  <LinksUpToDate>false</LinksUpToDate>
  <CharactersWithSpaces>27756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Gavin Scott</cp:lastModifiedBy>
  <cp:revision>3</cp:revision>
  <dcterms:created xsi:type="dcterms:W3CDTF">2024-02-29T13:28:00Z</dcterms:created>
  <dcterms:modified xsi:type="dcterms:W3CDTF">2024-09-25T16:29:00Z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